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국가별 AI 서비스 점유율 조사</w:t>
      </w:r>
    </w:p>
    <w:p>
      <w:pPr>
        <w:pStyle w:val="Subtitle"/>
      </w:pPr>
      <w:r>
        <w:t>생성형 AI 챗봇과 검색 서비스 비교 보고서</w:t>
      </w:r>
    </w:p>
    <w:p>
      <w:r>
        <w:rPr>
          <w:sz w:val="20"/>
        </w:rPr>
        <w:t>조사 기준일  2026년 10월 2일</w:t>
        <w:br/>
        <w:t>공통 관측월  2026년 9월 표시값</w:t>
        <w:br/>
        <w:t>조사 범위  57개 국가 및 시장</w:t>
      </w:r>
    </w:p>
    <w:p>
      <w:pPr>
        <w:pStyle w:val="Heading2"/>
      </w:pPr>
      <w:r>
        <w:t>핵심 요약</w:t>
      </w:r>
    </w:p>
    <w:p>
      <w:r>
        <w:t xml:space="preserve">조사한 </w:t>
      </w:r>
      <w:r>
        <w:rPr>
          <w:b/>
        </w:rPr>
        <w:t>57개 국가·시장 모두에서 ChatGPT가 AI 챗봇발 외부 웹사이트 유입 점유율 1위</w:t>
      </w:r>
      <w:r>
        <w:t>로 나타났다. Gemini는 56개 시장에서 2위였으며, 인도네시아에서는 Perplexity가 2위였다. 국가별 구성은 달랐다. 한국에서는 ChatGPT 64.62%, Gemini 29.03%였고, 러시아에서는 각각 36.83%, 31.19%로 나타났다.</w:t>
      </w:r>
    </w:p>
    <w:p>
      <w:r>
        <w:t xml:space="preserve">이 보고서의 공통 비교 지표는 </w:t>
      </w:r>
      <w:r>
        <w:rPr>
          <w:b/>
        </w:rPr>
        <w:t>AI 서비스가 외부 웹사이트로 보낸 유입의 구성비</w:t>
      </w:r>
      <w:r>
        <w:t>다. 전체 AI 이용자 수, 앱 사용량, 질문 수 또는 매출의 점유율로 해석할 수 없다. 국가별 실제 이용 현황은 9개국의 설문·도달 인원·월간 활성 이용자 자료로 따로 보완했다.</w:t>
      </w:r>
    </w:p>
    <w:p>
      <w:r>
        <w:t>특히 중국의 Doubao·Qianwen 등 현지 앱과 메시지 앱 내 AI는 별도 이용 지표가 필요하다. 외부 유입 표에서 서비스가 보이지 않거나 비중이 낮다는 사실만으로 이용자가 없다고 판단해서는 안 된다.</w:t>
      </w:r>
    </w:p>
    <w:p>
      <w:r>
        <w:rPr>
          <w:sz w:val="18"/>
        </w:rPr>
        <w:t xml:space="preserve">근거: </w:t>
      </w:r>
      <w:hyperlink r:id="rId9">
        <w:r>
          <w:rPr>
            <w:color w:val="24547A"/>
          </w:rPr>
          <w:t>Statcounter 지표 정의</w:t>
        </w:r>
      </w:hyperlink>
      <w:r>
        <w:rPr>
          <w:sz w:val="18"/>
        </w:rPr>
        <w:t>. 국가별 수치의 직접 출처는 지역 비교표의 국가명을 클릭하면 확인할 수 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1871"/>
        <w:gridCol w:w="6066"/>
      </w:tblGrid>
      <w:tr>
        <w:trPr>
          <w:cantSplit/>
          <w:tblHeader/>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지역</w:t>
            </w:r>
          </w:p>
        </w:tc>
        <w:tc>
          <w:tcPr>
            <w:tcW w:type="dxa" w:w="187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국가 및 시장 수</w:t>
            </w:r>
          </w:p>
        </w:tc>
        <w:tc>
          <w:tcPr>
            <w:tcW w:type="dxa" w:w="606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주요 범위</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아시아</w:t>
            </w:r>
          </w:p>
        </w:tc>
        <w:tc>
          <w:tcPr>
            <w:tcW w:type="dxa" w:w="187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15</w:t>
            </w:r>
          </w:p>
        </w:tc>
        <w:tc>
          <w:tcPr>
            <w:tcW w:type="dxa" w:w="606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한국·일본·중국·인도·동남아 등</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유럽</w:t>
            </w:r>
          </w:p>
        </w:tc>
        <w:tc>
          <w:tcPr>
            <w:tcW w:type="dxa" w:w="187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19</w:t>
            </w:r>
          </w:p>
        </w:tc>
        <w:tc>
          <w:tcPr>
            <w:tcW w:type="dxa" w:w="606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영국·독일·프랑스·러시아·튀르키예 등</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북미</w:t>
            </w:r>
          </w:p>
        </w:tc>
        <w:tc>
          <w:tcPr>
            <w:tcW w:type="dxa" w:w="187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8</w:t>
            </w:r>
          </w:p>
        </w:tc>
        <w:tc>
          <w:tcPr>
            <w:tcW w:type="dxa" w:w="606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미국·캐나다·멕시코·중미·카리브</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그 외 지역</w:t>
            </w:r>
          </w:p>
        </w:tc>
        <w:tc>
          <w:tcPr>
            <w:tcW w:type="dxa" w:w="187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15</w:t>
            </w:r>
          </w:p>
        </w:tc>
        <w:tc>
          <w:tcPr>
            <w:tcW w:type="dxa" w:w="606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남미·오세아니아·중동·아프리카</w:t>
            </w:r>
          </w:p>
        </w:tc>
      </w:tr>
    </w:tbl>
    <w:p>
      <w:pPr>
        <w:spacing w:after="0"/>
      </w:pPr>
    </w:p>
    <w:p>
      <w:r>
        <w:rPr>
          <w:sz w:val="18"/>
        </w:rPr>
        <w:t>구성  조사 기준과 방법 / 지역별 비교 / 9개국 이용 현황 / 해석과 한계 / 출처 안내</w:t>
      </w:r>
    </w:p>
    <w:p>
      <w:pPr>
        <w:pStyle w:val="Heading1"/>
        <w:pageBreakBefore/>
      </w:pPr>
      <w:r>
        <w:t>1 조사 기준과 방법</w:t>
      </w:r>
    </w:p>
    <w:p>
      <w:r>
        <w:t>본 보고서의 공통 지표는 Statcounter 관측망에서 해당 국가에 귀속되고 AI 챗봇 출처로 식별된 외부 웹사이트 유입을 분모로 삼는다. 서비스별 값은 그중 해당 서비스에서 발생한 유입의 비율이다. 챗봇 자체 웹사이트에 들어온 방문 비율과도 다르다. 예를 들어 ‘한국의 ChatGPT 64.62%’는 한국에서 관측된 AI 챗봇발 외부 유입 중 64.62%가 ChatGPT에 귀속됐다는 뜻이다. 한국인의 64.62%가 ChatGPT를 사용한다는 뜻으로 인용할 수 없다. (</w:t>
      </w:r>
      <w:hyperlink r:id="rId9">
        <w:r>
          <w:rPr>
            <w:color w:val="24547A"/>
          </w:rPr>
          <w:t>Statcounter 정의</w:t>
        </w:r>
      </w:hyperlink>
      <w:r>
        <w:t xml:space="preserve">, </w:t>
      </w:r>
      <w:hyperlink r:id="rId10">
        <w:r>
          <w:rPr>
            <w:color w:val="24547A"/>
          </w:rPr>
          <w:t>한국</w:t>
        </w:r>
      </w:hyperlink>
      <w: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11"/>
        <w:gridCol w:w="3572"/>
        <w:gridCol w:w="3855"/>
      </w:tblGrid>
      <w:tr>
        <w:trPr>
          <w:cantSplit/>
          <w:tblHeader/>
        </w:trPr>
        <w:tc>
          <w:tcPr>
            <w:tcW w:type="dxa" w:w="221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지표</w:t>
            </w:r>
          </w:p>
        </w:tc>
        <w:tc>
          <w:tcPr>
            <w:tcW w:type="dxa" w:w="357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측정 대상</w:t>
            </w:r>
          </w:p>
        </w:tc>
        <w:tc>
          <w:tcPr>
            <w:tcW w:type="dxa" w:w="385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해석 범위</w:t>
            </w:r>
          </w:p>
        </w:tc>
      </w:tr>
      <w:tr>
        <w:trPr>
          <w:cantSplit/>
        </w:trPr>
        <w:tc>
          <w:tcPr>
            <w:tcW w:type="dxa" w:w="221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외부 웹 유입 점유율</w:t>
            </w:r>
          </w:p>
        </w:tc>
        <w:tc>
          <w:tcPr>
            <w:tcW w:type="dxa" w:w="357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관측된 AI 챗봇발 외부 방문</w:t>
            </w:r>
          </w:p>
        </w:tc>
        <w:tc>
          <w:tcPr>
            <w:tcW w:type="dxa" w:w="385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국가 내 서비스 구성 비교</w:t>
            </w:r>
          </w:p>
        </w:tc>
      </w:tr>
      <w:tr>
        <w:trPr>
          <w:cantSplit/>
        </w:trPr>
        <w:tc>
          <w:tcPr>
            <w:tcW w:type="dxa" w:w="221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설문 이용률과 경험률</w:t>
            </w:r>
          </w:p>
        </w:tc>
        <w:tc>
          <w:tcPr>
            <w:tcW w:type="dxa" w:w="357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정해진 표본의 응답 비율</w:t>
            </w:r>
          </w:p>
        </w:tc>
        <w:tc>
          <w:tcPr>
            <w:tcW w:type="dxa" w:w="385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복수 사용 가능하며 합계 100% 아님</w:t>
            </w:r>
          </w:p>
        </w:tc>
      </w:tr>
      <w:tr>
        <w:trPr>
          <w:cantSplit/>
        </w:trPr>
        <w:tc>
          <w:tcPr>
            <w:tcW w:type="dxa" w:w="221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월간 도달 인원과 MAU</w:t>
            </w:r>
          </w:p>
        </w:tc>
        <w:tc>
          <w:tcPr>
            <w:tcW w:type="dxa" w:w="357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기간과 채널별 이용 인원</w:t>
            </w:r>
          </w:p>
        </w:tc>
        <w:tc>
          <w:tcPr>
            <w:tcW w:type="dxa" w:w="385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앱 간 중복 사용자를 단순 합산 불가</w:t>
            </w:r>
          </w:p>
        </w:tc>
      </w:tr>
      <w:tr>
        <w:trPr>
          <w:cantSplit/>
        </w:trPr>
        <w:tc>
          <w:tcPr>
            <w:tcW w:type="dxa" w:w="221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생성형 AI 보급률</w:t>
            </w:r>
          </w:p>
        </w:tc>
        <w:tc>
          <w:tcPr>
            <w:tcW w:type="dxa" w:w="357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어떤 생성형 AI라도 이용한 비율</w:t>
            </w:r>
          </w:p>
        </w:tc>
        <w:tc>
          <w:tcPr>
            <w:tcW w:type="dxa" w:w="385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특정 서비스 점유율과 구분</w:t>
            </w:r>
          </w:p>
        </w:tc>
      </w:tr>
    </w:tbl>
    <w:p>
      <w:pPr>
        <w:spacing w:after="0"/>
      </w:pPr>
    </w:p>
    <w:p>
      <w:r>
        <w:t>표의 All Platforms는 데스크톱·모바일·태블릿이라는 플랫폼 선택이다. 모든 모바일 앱의 내부 사용을 포괄한다는 보증이 아니다. 외부 링크를 클릭하지 않고 끝나는 대화와 검색, 메시지 앱 내 AI, 기업 내부 사용, API 호출 및 코딩 도구에서의 사용은 이 지표만으로 직접 측정할 수 없다. 따라서 Claude 등의 외부 유입 비중이 낮다는 이유만으로 해당 서비스의 전체 이용 규모나 코딩 분야의 비중까지 낮다고 결론 내릴 근거는 없다. 이는 지표의 정의에서 도출되는 해석상의 한계다. (</w:t>
      </w:r>
      <w:hyperlink r:id="rId9">
        <w:r>
          <w:rPr>
            <w:color w:val="24547A"/>
          </w:rPr>
          <w:t>Statcounter 정의</w:t>
        </w:r>
      </w:hyperlink>
      <w:r>
        <w:t xml:space="preserve">, </w:t>
      </w:r>
      <w:hyperlink r:id="rId10">
        <w:r>
          <w:rPr>
            <w:color w:val="24547A"/>
          </w:rPr>
          <w:t>플랫폼 선택 예시</w:t>
        </w:r>
      </w:hyperlink>
      <w:r>
        <w:t>)</w:t>
      </w:r>
    </w:p>
    <w:p>
      <w:r/>
      <w:r>
        <w:rPr>
          <w:b/>
        </w:rPr>
        <w:t>2026년 9월 값은 잠정 관측치다.</w:t>
      </w:r>
      <w:r>
        <w:t xml:space="preserve"> Statcounter는 최초 발표 후 45일간 품질 검사와 수정을 허용한다. 지역 조사에서 모든 행의 원문 상단에 September 2026이 표시된 것을 확인했으나, 미국의 최초 응답에서는 날짜 선택 UI 최댓값이 2026년 9월 29일이었다. 미국 수치가 9월 말일까지 완결된 월간치인지는 확인하지 못했다. 이에 따라 본 보고서는 ‘9월 표시값, 10월 2일 조회’로 기록하며 확정 월간치로 표현하지 않는다. (</w:t>
      </w:r>
      <w:hyperlink r:id="rId11">
        <w:r>
          <w:rPr>
            <w:color w:val="24547A"/>
          </w:rPr>
          <w:t>Statcounter FAQ</w:t>
        </w:r>
      </w:hyperlink>
      <w:r>
        <w:t xml:space="preserve">, </w:t>
      </w:r>
      <w:hyperlink r:id="rId12">
        <w:r>
          <w:rPr>
            <w:color w:val="24547A"/>
          </w:rPr>
          <w:t>미국 원문</w:t>
        </w:r>
      </w:hyperlink>
      <w:r>
        <w:t>)</w:t>
      </w:r>
    </w:p>
    <w:p>
      <w:pPr>
        <w:pStyle w:val="Heading1"/>
        <w:pageBreakBefore/>
      </w:pPr>
      <w:r>
        <w:t>2 지역별 비교</w:t>
      </w:r>
    </w:p>
    <w:p>
      <w:pPr>
        <w:pStyle w:val="Heading2"/>
      </w:pPr>
      <w:r>
        <w:t>아시아 국가별 비교</w:t>
      </w:r>
    </w:p>
    <w:p>
      <w:r>
        <w:rPr>
          <w:sz w:val="18"/>
        </w:rPr>
        <w:t>2026년 9월 표시값 · 단위 % · AI 챗봇발 외부 웹사이트 유입 점유율</w:t>
      </w:r>
    </w:p>
    <w:p>
      <w:r>
        <w:rPr>
          <w:sz w:val="18"/>
        </w:rPr>
        <w:t>국가명은 원문 링크다. —는 미표시, 0.00은 원문에 표시된 0%이며 반올림값일 수 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1134"/>
        <w:gridCol w:w="1077"/>
        <w:gridCol w:w="1304"/>
        <w:gridCol w:w="1077"/>
        <w:gridCol w:w="1020"/>
        <w:gridCol w:w="1247"/>
        <w:gridCol w:w="1077"/>
      </w:tblGrid>
      <w:tr>
        <w:trPr>
          <w:cantSplit/>
          <w:tblHeader/>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국가 및 시장</w:t>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ChatGPT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Gemini</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Perplexity</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Copilot</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Claude</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DeepSeek</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기타</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10">
              <w:r>
                <w:rPr>
                  <w:color w:val="24547A"/>
                  <w:sz w:val="18"/>
                </w:rPr>
                <w:t>대한민국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64.62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29.03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3.56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1.98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0.80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13">
              <w:r>
                <w:rPr>
                  <w:color w:val="24547A"/>
                  <w:sz w:val="18"/>
                </w:rPr>
                <w:t>일본</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74.29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16.59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1.94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6.20</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0.90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14">
              <w:r>
                <w:rPr>
                  <w:color w:val="24547A"/>
                  <w:sz w:val="18"/>
                </w:rPr>
                <w:t>중국 본토</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81.10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11.78</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1.50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0.38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0.38</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4.88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15">
              <w:r>
                <w:rPr>
                  <w:color w:val="24547A"/>
                  <w:sz w:val="18"/>
                </w:rPr>
                <w:t>인도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77.25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16.04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3.62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1.71</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1.37</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16">
              <w:r>
                <w:rPr>
                  <w:color w:val="24547A"/>
                  <w:sz w:val="18"/>
                </w:rPr>
                <w:t>인도네시아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84.91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6.13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8.08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0.28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0.61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17">
              <w:r>
                <w:rPr>
                  <w:color w:val="24547A"/>
                  <w:sz w:val="18"/>
                </w:rPr>
                <w:t>베트남</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67.51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27.09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3.18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1.16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1.04</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18">
              <w:r>
                <w:rPr>
                  <w:color w:val="24547A"/>
                  <w:sz w:val="18"/>
                </w:rPr>
                <w:t>태국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69.96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24.50</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3.39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0.94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19">
              <w:r>
                <w:rPr>
                  <w:color w:val="24547A"/>
                  <w:sz w:val="18"/>
                </w:rPr>
                <w:t>싱가포르</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77.55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14.35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4.93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1.47</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20">
              <w:r>
                <w:rPr>
                  <w:color w:val="24547A"/>
                  <w:sz w:val="18"/>
                </w:rPr>
                <w:t>말레이시아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81.46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13.56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2.76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1.83</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0.36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21">
              <w:r>
                <w:rPr>
                  <w:color w:val="24547A"/>
                  <w:sz w:val="18"/>
                </w:rPr>
                <w:t>필리핀</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74.63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14.96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6.03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3.52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0.86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22">
              <w:r>
                <w:rPr>
                  <w:color w:val="24547A"/>
                  <w:sz w:val="18"/>
                </w:rPr>
                <w:t>대만</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66.83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24.66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4.58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2.55</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1.17</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0.22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23">
              <w:r>
                <w:rPr>
                  <w:color w:val="24547A"/>
                  <w:sz w:val="18"/>
                </w:rPr>
                <w:t>홍콩</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51.86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29.33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13.24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5.06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0.20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0.31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24">
              <w:r>
                <w:rPr>
                  <w:color w:val="24547A"/>
                  <w:sz w:val="18"/>
                </w:rPr>
                <w:t>파키스탄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84.17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12.76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0.60</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1.24</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25">
              <w:r>
                <w:rPr>
                  <w:color w:val="24547A"/>
                  <w:sz w:val="18"/>
                </w:rPr>
                <w:t>방글라데시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74.76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21.64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1.56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0.99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1.05</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26">
              <w:r>
                <w:rPr>
                  <w:color w:val="24547A"/>
                  <w:sz w:val="18"/>
                </w:rPr>
                <w:t>카자흐스탄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68.06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25.98</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3.36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0.49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bl>
    <w:p>
      <w:pPr>
        <w:spacing w:after="0"/>
      </w:pPr>
    </w:p>
    <w:p>
      <w:r>
        <w:rPr>
          <w:sz w:val="20"/>
        </w:rPr>
        <w:t xml:space="preserve">아시아 조사 범위에서 ChatGPT의 외부 유입 비중은 홍콩 51.86%부터 인도네시아 84.91%까지 분포한다. 한국에서는 ChatGPT 64.62%, Gemini 29.03%이며, 두 서비스의 합계는 </w:t>
      </w:r>
      <w:r>
        <w:rPr>
          <w:b/>
          <w:sz w:val="20"/>
        </w:rPr>
        <w:t>93.65%</w:t>
      </w:r>
      <w:r>
        <w:rPr>
          <w:sz w:val="20"/>
        </w:rPr>
        <w:t>다. 이 합계는 표의 두 비율을 더한 작성자 계산으로, 두 서비스 이용자를 중복 제거한 비율이 아니다. 일본에서는 Copilot 6.20%가 Perplexity 1.94%보다 높지만, 인도네시아에서는 Perplexity 8.08%가 Gemini 6.13%를 앞선다. 동일한 ‘아시아 시장’이라는 묶음만으로 2·3위 서비스 구성을 설명하기 어렵다. (</w:t>
      </w:r>
      <w:hyperlink r:id="rId23">
        <w:r>
          <w:rPr>
            <w:color w:val="24547A"/>
          </w:rPr>
          <w:t>홍콩</w:t>
        </w:r>
      </w:hyperlink>
      <w:r>
        <w:rPr>
          <w:sz w:val="20"/>
        </w:rPr>
        <w:t xml:space="preserve">, </w:t>
      </w:r>
      <w:hyperlink r:id="rId10">
        <w:r>
          <w:rPr>
            <w:color w:val="24547A"/>
          </w:rPr>
          <w:t>한국</w:t>
        </w:r>
      </w:hyperlink>
      <w:r>
        <w:rPr>
          <w:sz w:val="20"/>
        </w:rPr>
        <w:t xml:space="preserve">, </w:t>
      </w:r>
      <w:hyperlink r:id="rId13">
        <w:r>
          <w:rPr>
            <w:color w:val="24547A"/>
          </w:rPr>
          <w:t>일본</w:t>
        </w:r>
      </w:hyperlink>
      <w:r>
        <w:rPr>
          <w:sz w:val="20"/>
        </w:rPr>
        <w:t xml:space="preserve">, </w:t>
      </w:r>
      <w:hyperlink r:id="rId16">
        <w:r>
          <w:rPr>
            <w:color w:val="24547A"/>
          </w:rPr>
          <w:t>인도네시아</w:t>
        </w:r>
      </w:hyperlink>
      <w:r>
        <w:rPr>
          <w:sz w:val="20"/>
        </w:rPr>
        <w:t>)</w:t>
      </w:r>
    </w:p>
    <w:p>
      <w:r>
        <w:rPr>
          <w:sz w:val="20"/>
        </w:rPr>
      </w:r>
      <w:r>
        <w:rPr>
          <w:b/>
          <w:sz w:val="20"/>
        </w:rPr>
        <w:t>중국 본토의 ChatGPT 81.10%는 중국 AI 이용자 점유율로 해석해서는 안 된다.</w:t>
      </w:r>
      <w:r>
        <w:rPr>
          <w:sz w:val="20"/>
        </w:rPr>
        <w:t xml:space="preserve"> 해당 외부 유입 표에는 Doubao·Qianwen 등 현지 주요 앱이 표시되지 않는다. 중국 시장을 설명할 때는 아래 3절의 현지 앱 MAU를 함께 보아야 하며, 이를 외부 유입 표에 섞어 하나의 점유율로 만들 수는 없다. (</w:t>
      </w:r>
      <w:hyperlink r:id="rId14">
        <w:r>
          <w:rPr>
            <w:color w:val="24547A"/>
          </w:rPr>
          <w:t>Statcounter 중국</w:t>
        </w:r>
      </w:hyperlink>
      <w:r>
        <w:rPr>
          <w:sz w:val="20"/>
        </w:rPr>
        <w:t xml:space="preserve">, </w:t>
      </w:r>
      <w:hyperlink r:id="rId27">
        <w:r>
          <w:rPr>
            <w:color w:val="24547A"/>
          </w:rPr>
          <w:t>QuestMobile</w:t>
        </w:r>
      </w:hyperlink>
      <w:r>
        <w:rPr>
          <w:sz w:val="20"/>
        </w:rPr>
        <w:t>)</w:t>
      </w:r>
    </w:p>
    <w:p>
      <w:pPr>
        <w:pStyle w:val="Heading1"/>
        <w:pageBreakBefore/>
      </w:pPr>
      <w:r>
        <w:t>유럽 국가별 비교</w:t>
      </w:r>
    </w:p>
    <w:p>
      <w:r>
        <w:rPr>
          <w:sz w:val="18"/>
        </w:rPr>
        <w:t>2026년 9월 표시값 · 단위 % · AI 챗봇발 외부 웹사이트 유입 점유율</w:t>
      </w:r>
    </w:p>
    <w:p>
      <w:r>
        <w:rPr>
          <w:sz w:val="18"/>
        </w:rPr>
        <w:t>국가명은 원문 링크다. —는 미표시, 0.00은 원문에 표시된 0%이며 반올림값일 수 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1134"/>
        <w:gridCol w:w="1077"/>
        <w:gridCol w:w="1304"/>
        <w:gridCol w:w="1077"/>
        <w:gridCol w:w="1020"/>
        <w:gridCol w:w="1247"/>
        <w:gridCol w:w="1077"/>
      </w:tblGrid>
      <w:tr>
        <w:trPr>
          <w:cantSplit/>
          <w:tblHeader/>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국가 및 시장</w:t>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ChatGPT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Gemini</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Perplexity</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Copilot</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Claude</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DeepSeek</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기타</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28">
              <w:r>
                <w:rPr>
                  <w:color w:val="24547A"/>
                  <w:sz w:val="18"/>
                </w:rPr>
                <w:t>영국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80.02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10.14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2.70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5.61</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1.51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29">
              <w:r>
                <w:rPr>
                  <w:color w:val="24547A"/>
                  <w:sz w:val="18"/>
                </w:rPr>
                <w:t>독일</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79.27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11.06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5.15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3.08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1.42</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30">
              <w:r>
                <w:rPr>
                  <w:color w:val="24547A"/>
                  <w:sz w:val="18"/>
                </w:rPr>
                <w:t>프랑스</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79.03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11.82</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4.62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2.72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1.80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Phind 0.00</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31">
              <w:r>
                <w:rPr>
                  <w:color w:val="24547A"/>
                  <w:sz w:val="18"/>
                </w:rPr>
                <w:t>스페인</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77.82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14.42</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3.93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2.84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0.99</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Phind 0.01</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32">
              <w:r>
                <w:rPr>
                  <w:color w:val="24547A"/>
                  <w:sz w:val="18"/>
                </w:rPr>
                <w:t>이탈리아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69.82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19.36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6.20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3.27</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1.33</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33">
              <w:r>
                <w:rPr>
                  <w:color w:val="24547A"/>
                  <w:sz w:val="18"/>
                </w:rPr>
                <w:t>네덜란드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82.94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8.79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3.07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3.63</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1.54</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34">
              <w:r>
                <w:rPr>
                  <w:color w:val="24547A"/>
                  <w:sz w:val="18"/>
                </w:rPr>
                <w:t>폴란드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80.63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14.20</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1.44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0.71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35">
              <w:r>
                <w:rPr>
                  <w:color w:val="24547A"/>
                  <w:sz w:val="18"/>
                </w:rPr>
                <w:t>스웨덴</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81.92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11.46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2.24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3.01</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1.36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36">
              <w:r>
                <w:rPr>
                  <w:color w:val="24547A"/>
                  <w:sz w:val="18"/>
                </w:rPr>
                <w:t>노르웨이</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82.49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9.73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2.06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4.36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1.33</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37">
              <w:r>
                <w:rPr>
                  <w:color w:val="24547A"/>
                  <w:sz w:val="18"/>
                </w:rPr>
                <w:t>핀란드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77.06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12.05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4.48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3.66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2.70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Phind 0.05</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38">
              <w:r>
                <w:rPr>
                  <w:color w:val="24547A"/>
                  <w:sz w:val="18"/>
                </w:rPr>
                <w:t>덴마크</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85.47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7.34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2.29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3.28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1.62</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39">
              <w:r>
                <w:rPr>
                  <w:color w:val="24547A"/>
                  <w:sz w:val="18"/>
                </w:rPr>
                <w:t>스위스</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79.42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12.49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3.48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3.12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1.49</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40">
              <w:r>
                <w:rPr>
                  <w:color w:val="24547A"/>
                  <w:sz w:val="18"/>
                </w:rPr>
                <w:t>오스트리아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83.31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9.64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3.14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2.68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1.22</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41">
              <w:r>
                <w:rPr>
                  <w:color w:val="24547A"/>
                  <w:sz w:val="18"/>
                </w:rPr>
                <w:t>벨기에</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79.91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10.83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2.50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5.04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1.70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Phind 0.02</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42">
              <w:r>
                <w:rPr>
                  <w:color w:val="24547A"/>
                  <w:sz w:val="18"/>
                </w:rPr>
                <w:t>포르투갈</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78.86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13.66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2.78</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3.40</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43">
              <w:r>
                <w:rPr>
                  <w:color w:val="24547A"/>
                  <w:sz w:val="18"/>
                </w:rPr>
                <w:t>체코</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74.66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15.85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3.85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4.23</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0.90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0.50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44">
              <w:r>
                <w:rPr>
                  <w:color w:val="24547A"/>
                  <w:sz w:val="18"/>
                </w:rPr>
                <w:t>아일랜드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78.29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11.86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3.56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3.82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2.40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45">
              <w:r>
                <w:rPr>
                  <w:color w:val="24547A"/>
                  <w:sz w:val="18"/>
                </w:rPr>
                <w:t>러시아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36.83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31.19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21.53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4.91</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5.49</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46">
              <w:r>
                <w:rPr>
                  <w:color w:val="24547A"/>
                  <w:sz w:val="18"/>
                </w:rPr>
                <w:t>튀르키예</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75.75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21.56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0.84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1.09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0.76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Phind 0.01</w:t>
            </w:r>
          </w:p>
        </w:tc>
      </w:tr>
    </w:tbl>
    <w:p>
      <w:pPr>
        <w:spacing w:after="0"/>
      </w:pPr>
    </w:p>
    <w:p>
      <w:r>
        <w:rPr>
          <w:sz w:val="20"/>
        </w:rPr>
        <w:t>유럽 조사 19개국에서는 ChatGPT가 모두 1위, Gemini가 모두 2위다. 다만 러시아에서는 ChatGPT 36.83%, Gemini 31.19%, Perplexity 21.53%로 외부 유입이 분산되어 있으며, 덴마크의 ChatGPT 85.47%와 구성 차이가 크다. 이 차이는 두 나라의 전체 AI 이용자 선호나 서비스 접근 제약의 원인을 설명하지 않는다. 러시아의 Alice·GigaChat, 프랑스의 Le Chat 등 현지 서비스의 동등한 외부 유입 비중도 이번 표에서 확보하지 못했다. (</w:t>
      </w:r>
      <w:hyperlink r:id="rId45">
        <w:r>
          <w:rPr>
            <w:color w:val="24547A"/>
          </w:rPr>
          <w:t>러시아</w:t>
        </w:r>
      </w:hyperlink>
      <w:r>
        <w:rPr>
          <w:sz w:val="20"/>
        </w:rPr>
        <w:t xml:space="preserve">, </w:t>
      </w:r>
      <w:hyperlink r:id="rId38">
        <w:r>
          <w:rPr>
            <w:color w:val="24547A"/>
          </w:rPr>
          <w:t>덴마크</w:t>
        </w:r>
      </w:hyperlink>
      <w:r>
        <w:rPr>
          <w:sz w:val="20"/>
        </w:rPr>
        <w:t xml:space="preserve">, </w:t>
      </w:r>
      <w:hyperlink r:id="rId30">
        <w:r>
          <w:rPr>
            <w:color w:val="24547A"/>
          </w:rPr>
          <w:t>프랑스</w:t>
        </w:r>
      </w:hyperlink>
      <w:r>
        <w:rPr>
          <w:sz w:val="20"/>
        </w:rPr>
        <w:t>)</w:t>
      </w:r>
    </w:p>
    <w:p>
      <w:pPr>
        <w:pStyle w:val="Heading1"/>
        <w:pageBreakBefore/>
      </w:pPr>
      <w:r>
        <w:t>북미 국가별 비교</w:t>
      </w:r>
    </w:p>
    <w:p>
      <w:r>
        <w:rPr>
          <w:sz w:val="18"/>
        </w:rPr>
        <w:t>2026년 9월 표시값 · 단위 % · AI 챗봇발 외부 웹사이트 유입 점유율</w:t>
      </w:r>
    </w:p>
    <w:p>
      <w:r>
        <w:rPr>
          <w:sz w:val="18"/>
        </w:rPr>
        <w:t>국가명은 원문 링크다. —는 미표시, 0.00은 원문에 표시된 0%이며 반올림값일 수 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1134"/>
        <w:gridCol w:w="1077"/>
        <w:gridCol w:w="1304"/>
        <w:gridCol w:w="1077"/>
        <w:gridCol w:w="1020"/>
        <w:gridCol w:w="1247"/>
        <w:gridCol w:w="1077"/>
      </w:tblGrid>
      <w:tr>
        <w:trPr>
          <w:cantSplit/>
          <w:tblHeader/>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국가 및 시장</w:t>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ChatGPT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Gemini</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Perplexity</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Copilot</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Claude</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DeepSeek</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기타</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12">
              <w:r>
                <w:rPr>
                  <w:color w:val="24547A"/>
                  <w:sz w:val="18"/>
                </w:rPr>
                <w:t>미국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75.17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13.26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6.64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1.81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47">
              <w:r>
                <w:rPr>
                  <w:color w:val="24547A"/>
                  <w:sz w:val="18"/>
                </w:rPr>
                <w:t>캐나다</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71.46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16.27</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3.72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6.33</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2.21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48">
              <w:r>
                <w:rPr>
                  <w:color w:val="24547A"/>
                  <w:sz w:val="18"/>
                </w:rPr>
                <w:t>멕시코</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71.04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21.28</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3.13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4.07</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0.48</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49">
              <w:r>
                <w:rPr>
                  <w:color w:val="24547A"/>
                  <w:sz w:val="18"/>
                </w:rPr>
                <w:t>코스타리카</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78.12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14.08</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1.72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4.96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1.11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50">
              <w:r>
                <w:rPr>
                  <w:color w:val="24547A"/>
                  <w:sz w:val="18"/>
                </w:rPr>
                <w:t>과테말라</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64.60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29.97</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3.24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1.59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0.59</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51">
              <w:r>
                <w:rPr>
                  <w:color w:val="24547A"/>
                  <w:sz w:val="18"/>
                </w:rPr>
                <w:t>파나마</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69.02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22.08</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4.86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2.89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1.16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52">
              <w:r>
                <w:rPr>
                  <w:color w:val="24547A"/>
                  <w:sz w:val="18"/>
                </w:rPr>
                <w:t>도미니카공화국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72.60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17.81</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3.80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5.42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0.36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53">
              <w:r>
                <w:rPr>
                  <w:color w:val="24547A"/>
                  <w:sz w:val="18"/>
                </w:rPr>
                <w:t>자메이카</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72.92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18.41</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2.53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5.78</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0.36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bl>
    <w:p>
      <w:pPr>
        <w:spacing w:after="0"/>
      </w:pPr>
    </w:p>
    <w:p>
      <w:r>
        <w:rPr>
          <w:sz w:val="20"/>
        </w:rPr>
        <w:t>북미 조사 범위에서는 미국·캐나다 모두 Copilot의 외부 유입 비중이 Perplexity보다 높다. 반면 과테말라·파나마에서는 Perplexity가 Copilot보다 높다. Gemini는 과테말라 29.97%, 파나마 22.08%, 멕시코 21.28%로 미국 13.26%보다 높은 구성비를 보인다. 이 비교는 국가 내 AI 유입의 구성에 관한 것이며, 과테말라의 Gemini 이용자 수나 인구 대비 보급률이 미국보다 크다는 뜻이 아니다. (</w:t>
      </w:r>
      <w:hyperlink r:id="rId12">
        <w:r>
          <w:rPr>
            <w:color w:val="24547A"/>
          </w:rPr>
          <w:t>미국</w:t>
        </w:r>
      </w:hyperlink>
      <w:r>
        <w:rPr>
          <w:sz w:val="20"/>
        </w:rPr>
        <w:t xml:space="preserve">, </w:t>
      </w:r>
      <w:hyperlink r:id="rId47">
        <w:r>
          <w:rPr>
            <w:color w:val="24547A"/>
          </w:rPr>
          <w:t>캐나다</w:t>
        </w:r>
      </w:hyperlink>
      <w:r>
        <w:rPr>
          <w:sz w:val="20"/>
        </w:rPr>
        <w:t xml:space="preserve">, </w:t>
      </w:r>
      <w:hyperlink r:id="rId50">
        <w:r>
          <w:rPr>
            <w:color w:val="24547A"/>
          </w:rPr>
          <w:t>과테말라</w:t>
        </w:r>
      </w:hyperlink>
      <w:r>
        <w:rPr>
          <w:sz w:val="20"/>
        </w:rPr>
        <w:t xml:space="preserve">, </w:t>
      </w:r>
      <w:hyperlink r:id="rId51">
        <w:r>
          <w:rPr>
            <w:color w:val="24547A"/>
          </w:rPr>
          <w:t>파나마</w:t>
        </w:r>
      </w:hyperlink>
      <w:r>
        <w:rPr>
          <w:sz w:val="20"/>
        </w:rPr>
        <w:t xml:space="preserve">, </w:t>
      </w:r>
      <w:hyperlink r:id="rId48">
        <w:r>
          <w:rPr>
            <w:color w:val="24547A"/>
          </w:rPr>
          <w:t>멕시코</w:t>
        </w:r>
      </w:hyperlink>
      <w:r>
        <w:rPr>
          <w:sz w:val="20"/>
        </w:rPr>
        <w:t>)</w:t>
      </w:r>
    </w:p>
    <w:p>
      <w:pPr>
        <w:pStyle w:val="Heading1"/>
        <w:pageBreakBefore/>
      </w:pPr>
      <w:r>
        <w:t>그 외 지역 국가별 비교</w:t>
      </w:r>
    </w:p>
    <w:p>
      <w:r>
        <w:rPr>
          <w:sz w:val="18"/>
        </w:rPr>
        <w:t>2026년 9월 표시값 · 단위 % · AI 챗봇발 외부 웹사이트 유입 점유율</w:t>
      </w:r>
    </w:p>
    <w:p>
      <w:r>
        <w:rPr>
          <w:sz w:val="18"/>
        </w:rPr>
        <w:t>국가명은 원문 링크다. —는 미표시, 0.00은 원문에 표시된 0%이며 반올림값일 수 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1134"/>
        <w:gridCol w:w="1077"/>
        <w:gridCol w:w="1304"/>
        <w:gridCol w:w="1077"/>
        <w:gridCol w:w="1020"/>
        <w:gridCol w:w="1247"/>
        <w:gridCol w:w="1077"/>
      </w:tblGrid>
      <w:tr>
        <w:trPr>
          <w:cantSplit/>
          <w:tblHeader/>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국가 및 시장</w:t>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ChatGPT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Gemini</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Perplexity</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Copilot</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Claude</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DeepSeek</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8"/>
              </w:rPr>
              <w:t>기타</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54">
              <w:r>
                <w:rPr>
                  <w:color w:val="24547A"/>
                  <w:sz w:val="18"/>
                </w:rPr>
                <w:t>브라질</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76.63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17.95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2.17</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55">
              <w:r>
                <w:rPr>
                  <w:color w:val="24547A"/>
                  <w:sz w:val="18"/>
                </w:rPr>
                <w:t>아르헨티나</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74.63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19.10</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2.10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2.56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1.60</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56">
              <w:r>
                <w:rPr>
                  <w:color w:val="24547A"/>
                  <w:sz w:val="18"/>
                </w:rPr>
                <w:t>칠레</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68.21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24.63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3.14</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2.40</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1.62</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57">
              <w:r>
                <w:rPr>
                  <w:color w:val="24547A"/>
                  <w:sz w:val="18"/>
                </w:rPr>
                <w:t>콜롬비아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67.10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24.77</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4.52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2.22</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1.37</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0.02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58">
              <w:r>
                <w:rPr>
                  <w:color w:val="24547A"/>
                  <w:sz w:val="18"/>
                </w:rPr>
                <w:t>페루</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79.39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14.23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4.86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0.86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0.66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59">
              <w:r>
                <w:rPr>
                  <w:color w:val="24547A"/>
                  <w:sz w:val="18"/>
                </w:rPr>
                <w:t>호주</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78.23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9.45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3.17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7.37</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1.78</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60">
              <w:r>
                <w:rPr>
                  <w:color w:val="24547A"/>
                  <w:sz w:val="18"/>
                </w:rPr>
                <w:t>뉴질랜드</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77.99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12.16</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2.93</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5.51</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1.41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61">
              <w:r>
                <w:rPr>
                  <w:color w:val="24547A"/>
                  <w:sz w:val="18"/>
                </w:rPr>
                <w:t>사우디아라비아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75.00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16.54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4.25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3.17</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1.04</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62">
              <w:r>
                <w:rPr>
                  <w:color w:val="24547A"/>
                  <w:sz w:val="18"/>
                </w:rPr>
                <w:t>아랍에미리트</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80.99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13.25</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2.25</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2.26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1.23</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0.02</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63">
              <w:r>
                <w:rPr>
                  <w:color w:val="24547A"/>
                  <w:sz w:val="18"/>
                </w:rPr>
                <w:t>이스라엘</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66.06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27.22</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3.80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1.26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1.67</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64">
              <w:r>
                <w:rPr>
                  <w:color w:val="24547A"/>
                  <w:sz w:val="18"/>
                </w:rPr>
                <w:t>남아프리카공화국</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80.30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8.70</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3.71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6.15</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1.14</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65">
              <w:r>
                <w:rPr>
                  <w:color w:val="24547A"/>
                  <w:sz w:val="18"/>
                </w:rPr>
                <w:t>나이지리아</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77.60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14.04</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3.49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3.39</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1.48</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66">
              <w:r>
                <w:rPr>
                  <w:color w:val="24547A"/>
                  <w:sz w:val="18"/>
                </w:rPr>
                <w:t>이집트</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72.16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21.39</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3.97</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1.64</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0.82</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0.01</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8"/>
              </w:rPr>
            </w:r>
            <w:hyperlink r:id="rId67">
              <w:r>
                <w:rPr>
                  <w:color w:val="24547A"/>
                  <w:sz w:val="18"/>
                </w:rPr>
                <w:t>케냐</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68.69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20.93</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4.66</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3.56</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2.16</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center"/>
            </w:pPr>
            <w:r>
              <w:rPr>
                <w:b w:val="0"/>
                <w:sz w:val="18"/>
              </w:rPr>
              <w:t>—</w:t>
            </w:r>
          </w:p>
        </w:tc>
      </w:tr>
      <w:tr>
        <w:trPr>
          <w:cantSplit/>
        </w:trPr>
        <w:tc>
          <w:tcPr>
            <w:tcW w:type="dxa" w:w="1701"/>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8"/>
              </w:rPr>
            </w:r>
            <w:hyperlink r:id="rId68">
              <w:r>
                <w:rPr>
                  <w:color w:val="24547A"/>
                  <w:sz w:val="18"/>
                </w:rPr>
                <w:t>모로코</w:t>
              </w:r>
            </w:hyperlink>
            <w:r>
              <w:rPr>
                <w:b w:val="0"/>
                <w:sz w:val="18"/>
              </w:rPr>
            </w:r>
          </w:p>
        </w:tc>
        <w:tc>
          <w:tcPr>
            <w:tcW w:type="dxa" w:w="113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79.89</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15.70</w:t>
            </w:r>
          </w:p>
        </w:tc>
        <w:tc>
          <w:tcPr>
            <w:tcW w:type="dxa" w:w="13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2.60</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0.70</w:t>
            </w:r>
          </w:p>
        </w:tc>
        <w:tc>
          <w:tcPr>
            <w:tcW w:type="dxa" w:w="10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1.11</w:t>
            </w:r>
          </w:p>
        </w:tc>
        <w:tc>
          <w:tcPr>
            <w:tcW w:type="dxa" w:w="124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c>
          <w:tcPr>
            <w:tcW w:type="dxa" w:w="1077"/>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center"/>
            </w:pPr>
            <w:r>
              <w:rPr>
                <w:b w:val="0"/>
                <w:sz w:val="18"/>
              </w:rPr>
              <w:t>—</w:t>
            </w:r>
          </w:p>
        </w:tc>
      </w:tr>
    </w:tbl>
    <w:p>
      <w:pPr>
        <w:spacing w:after="0"/>
      </w:pPr>
    </w:p>
    <w:p>
      <w:r>
        <w:rPr>
          <w:sz w:val="20"/>
        </w:rPr>
        <w:t>남미·오세아니아·중동·아프리카에서 선정한 15개국에서는 ChatGPT가 모두 1위, Gemini가 모두 2위다. 이스라엘의 Gemini는 27.22%, 콜롬비아는 24.77%, 칠레는 24.63%다. Copilot은 호주 7.37%, 남아프리카공화국 6.15%, 뉴질랜드 5.51%인 반면, Perplexity는 페루 4.86%, 케냐 4.66%를 기록한다. 이를 각 지역 전체의 가중 점유율이나 서비스 성장 속도로 확대할 수는 없다. 한 시점의 국가별 구성 차이를 보여 주는 결과다. (</w:t>
      </w:r>
      <w:hyperlink r:id="rId63">
        <w:r>
          <w:rPr>
            <w:color w:val="24547A"/>
          </w:rPr>
          <w:t>이스라엘</w:t>
        </w:r>
      </w:hyperlink>
      <w:r>
        <w:rPr>
          <w:sz w:val="20"/>
        </w:rPr>
        <w:t xml:space="preserve">, </w:t>
      </w:r>
      <w:hyperlink r:id="rId57">
        <w:r>
          <w:rPr>
            <w:color w:val="24547A"/>
          </w:rPr>
          <w:t>콜롬비아</w:t>
        </w:r>
      </w:hyperlink>
      <w:r>
        <w:rPr>
          <w:sz w:val="20"/>
        </w:rPr>
        <w:t xml:space="preserve">, </w:t>
      </w:r>
      <w:hyperlink r:id="rId56">
        <w:r>
          <w:rPr>
            <w:color w:val="24547A"/>
          </w:rPr>
          <w:t>칠레</w:t>
        </w:r>
      </w:hyperlink>
      <w:r>
        <w:rPr>
          <w:sz w:val="20"/>
        </w:rPr>
        <w:t xml:space="preserve">, </w:t>
      </w:r>
      <w:hyperlink r:id="rId59">
        <w:r>
          <w:rPr>
            <w:color w:val="24547A"/>
          </w:rPr>
          <w:t>호주</w:t>
        </w:r>
      </w:hyperlink>
      <w:r>
        <w:rPr>
          <w:sz w:val="20"/>
        </w:rPr>
        <w:t xml:space="preserve">, </w:t>
      </w:r>
      <w:hyperlink r:id="rId64">
        <w:r>
          <w:rPr>
            <w:color w:val="24547A"/>
          </w:rPr>
          <w:t>남아공</w:t>
        </w:r>
      </w:hyperlink>
      <w:r>
        <w:rPr>
          <w:sz w:val="20"/>
        </w:rPr>
        <w:t xml:space="preserve">, </w:t>
      </w:r>
      <w:hyperlink r:id="rId60">
        <w:r>
          <w:rPr>
            <w:color w:val="24547A"/>
          </w:rPr>
          <w:t>뉴질랜드</w:t>
        </w:r>
      </w:hyperlink>
      <w:r>
        <w:rPr>
          <w:sz w:val="20"/>
        </w:rPr>
        <w:t xml:space="preserve">, </w:t>
      </w:r>
      <w:hyperlink r:id="rId58">
        <w:r>
          <w:rPr>
            <w:color w:val="24547A"/>
          </w:rPr>
          <w:t>페루</w:t>
        </w:r>
      </w:hyperlink>
      <w:r>
        <w:rPr>
          <w:sz w:val="20"/>
        </w:rPr>
        <w:t xml:space="preserve">, </w:t>
      </w:r>
      <w:hyperlink r:id="rId67">
        <w:r>
          <w:rPr>
            <w:color w:val="24547A"/>
          </w:rPr>
          <w:t>케냐</w:t>
        </w:r>
      </w:hyperlink>
      <w:r>
        <w:rPr>
          <w:sz w:val="20"/>
        </w:rPr>
        <w:t>)</w:t>
      </w:r>
    </w:p>
    <w:p>
      <w:pPr>
        <w:pStyle w:val="Heading1"/>
        <w:pageBreakBefore/>
      </w:pPr>
      <w:r>
        <w:t>3 국가별 실제 이용 현황</w:t>
      </w:r>
    </w:p>
    <w:p>
      <w:r>
        <w:t xml:space="preserve">서비스를 사용하는 사람이 얼마나 넓게 분포하는지는 이용자 설문이나 패널로 따로 확인해야 한다. 아래 내용은 원 조사기관의 자료에서 확인한 수치다. </w:t>
      </w:r>
      <w:r>
        <w:rPr>
          <w:b/>
        </w:rPr>
        <w:t>조사 시점·연령·분모·문항·채널이 달라 국가 간 사용률 순위를 만드는 데 사용할 수 없다.</w:t>
      </w:r>
      <w:r>
        <w:t xml:space="preserve"> 서비스별 비율은 한 사람이 여러 서비스를 사용하는 구조를 허용하므로 합계 100%인 시장점유율로 재계산하지 않는다. 발표연도와 실제 관측연도가 다른 자료는 둘 다 기록했다.</w:t>
      </w:r>
    </w:p>
    <w:p>
      <w:pPr>
        <w:pStyle w:val="Heading2"/>
      </w:pPr>
      <w:r>
        <w:t>한국 오픈서베이</w:t>
      </w:r>
    </w:p>
    <w:p>
      <w:r/>
      <w:r>
        <w:rPr>
          <w:b/>
        </w:rPr>
        <w:t>조사 기준</w:t>
      </w:r>
      <w:r>
        <w:t xml:space="preserve">  2026-07-02 조사. 전국 만 10~59세 검색 이용자 1,000명</w:t>
      </w:r>
    </w:p>
    <w:p>
      <w:r/>
      <w:r>
        <w:rPr>
          <w:b/>
        </w:rPr>
        <w:t>주요 결과</w:t>
      </w:r>
      <w:r>
        <w:t xml:space="preserve">  ChatGPT 이용 경험 58.1%, Gemini 52.2%</w:t>
      </w:r>
    </w:p>
    <w:p>
      <w:r>
        <w:rPr>
          <w:sz w:val="20"/>
        </w:rPr>
      </w:r>
      <w:r>
        <w:rPr>
          <w:b/>
          <w:sz w:val="20"/>
        </w:rPr>
        <w:t>해석 조건과 출처</w:t>
      </w:r>
      <w:r>
        <w:rPr>
          <w:sz w:val="20"/>
        </w:rPr>
        <w:t xml:space="preserve">  중복 경험 가능, 60세 이상 제외. 주 이용 서비스 문항의 전체 정확한 비율은 미확보. </w:t>
      </w:r>
      <w:hyperlink r:id="rId69">
        <w:r>
          <w:rPr>
            <w:color w:val="24547A"/>
          </w:rPr>
          <w:t>수치</w:t>
        </w:r>
      </w:hyperlink>
      <w:r>
        <w:rPr>
          <w:sz w:val="20"/>
        </w:rPr>
        <w:t xml:space="preserve">, </w:t>
      </w:r>
      <w:hyperlink r:id="rId70">
        <w:r>
          <w:rPr>
            <w:color w:val="24547A"/>
          </w:rPr>
          <w:t>조사 설계</w:t>
        </w:r>
      </w:hyperlink>
      <w:r>
        <w:rPr>
          <w:sz w:val="20"/>
        </w:rPr>
      </w:r>
    </w:p>
    <w:p>
      <w:pPr>
        <w:pStyle w:val="Heading2"/>
      </w:pPr>
      <w:r>
        <w:t>일본 NRC</w:t>
      </w:r>
    </w:p>
    <w:p>
      <w:r/>
      <w:r>
        <w:rPr>
          <w:b/>
        </w:rPr>
        <w:t>조사 기준</w:t>
      </w:r>
      <w:r>
        <w:t xml:space="preserve">  2026-06 조사, 2026-07-10 발표. 전국 20~69세 남녀 웹 패널, 지역·성·연령 가중</w:t>
      </w:r>
    </w:p>
    <w:p>
      <w:r/>
      <w:r>
        <w:rPr>
          <w:b/>
        </w:rPr>
        <w:t>주요 결과</w:t>
      </w:r>
      <w:r>
        <w:t xml:space="preserve">  현재 이용: ChatGPT 30.3%, Gemini 29.0%, Copilot 15.0%. 이용 경험: ChatGPT 38.4%, Gemini 33.1%</w:t>
      </w:r>
    </w:p>
    <w:p>
      <w:r>
        <w:rPr>
          <w:sz w:val="20"/>
        </w:rPr>
      </w:r>
      <w:r>
        <w:rPr>
          <w:b/>
          <w:sz w:val="20"/>
        </w:rPr>
        <w:t>해석 조건과 출처</w:t>
      </w:r>
      <w:r>
        <w:rPr>
          <w:sz w:val="20"/>
        </w:rPr>
        <w:t xml:space="preserve">  복수응답·업무 사용 포함. 해당 월 문항의 정확한 유효 표본수 미확인. 현재 이용과 경험을 구분. </w:t>
      </w:r>
      <w:hyperlink r:id="rId71">
        <w:r>
          <w:rPr>
            <w:color w:val="24547A"/>
          </w:rPr>
          <w:t>NRC</w:t>
        </w:r>
      </w:hyperlink>
      <w:r>
        <w:rPr>
          <w:sz w:val="20"/>
        </w:rPr>
      </w:r>
    </w:p>
    <w:p>
      <w:pPr>
        <w:pStyle w:val="Heading2"/>
      </w:pPr>
      <w:r>
        <w:t>중국 QuestMobile</w:t>
      </w:r>
    </w:p>
    <w:p>
      <w:r/>
      <w:r>
        <w:rPr>
          <w:b/>
        </w:rPr>
        <w:t>조사 기준</w:t>
      </w:r>
      <w:r>
        <w:t xml:space="preserve">  개별 앱 수치는 2026-06, 보고서 게시 2026-07-14. AI 네이티브 앱별 MAU</w:t>
      </w:r>
    </w:p>
    <w:p>
      <w:r/>
      <w:r>
        <w:rPr>
          <w:b/>
        </w:rPr>
        <w:t>주요 결과</w:t>
      </w:r>
      <w:r>
        <w:t xml:space="preserve">  Doubao 3억 8,200만 명, Qianwen 1억 6,700만 명, DeepSeek 1억 2,900만 명</w:t>
      </w:r>
    </w:p>
    <w:p>
      <w:r>
        <w:rPr>
          <w:sz w:val="20"/>
        </w:rPr>
      </w:r>
      <w:r>
        <w:rPr>
          <w:b/>
          <w:sz w:val="20"/>
        </w:rPr>
        <w:t>해석 조건과 출처</w:t>
      </w:r>
      <w:r>
        <w:rPr>
          <w:sz w:val="20"/>
        </w:rPr>
        <w:t xml:space="preserve">  앱 간 사용자 중복 가능. 전체 규모의 기준 월이 원문 내부에서 불일치하므로 점유율 분모로 사용하지 않음. </w:t>
      </w:r>
      <w:hyperlink r:id="rId27">
        <w:r>
          <w:rPr>
            <w:color w:val="24547A"/>
          </w:rPr>
          <w:t>QuestMobile</w:t>
        </w:r>
      </w:hyperlink>
      <w:r>
        <w:rPr>
          <w:sz w:val="20"/>
        </w:rPr>
      </w:r>
    </w:p>
    <w:p>
      <w:pPr>
        <w:pStyle w:val="Heading1"/>
        <w:pageBreakBefore/>
      </w:pPr>
      <w:r>
        <w:t>3 국가별 실제 이용 현황 계속</w:t>
      </w:r>
    </w:p>
    <w:p>
      <w:r>
        <w:rPr>
          <w:sz w:val="18"/>
        </w:rPr>
        <w:t>설문·도달 인원·앱 MAU는 조사 시점과 분모가 다르므로 국가 간 사용률 순위로 비교하지 않는다.</w:t>
      </w:r>
    </w:p>
    <w:p>
      <w:pPr>
        <w:pStyle w:val="Heading2"/>
      </w:pPr>
      <w:r>
        <w:t>미국 Pew Research Center</w:t>
      </w:r>
    </w:p>
    <w:p>
      <w:r/>
      <w:r>
        <w:rPr>
          <w:b/>
        </w:rPr>
        <w:t>조사 기준</w:t>
      </w:r>
      <w:r>
        <w:t xml:space="preserve">  2026-02-17~23 조사, 2026-06-17 발표. 미국 성인 5,119명, 온라인·전화 패널</w:t>
      </w:r>
    </w:p>
    <w:p>
      <w:r/>
      <w:r>
        <w:rPr>
          <w:b/>
        </w:rPr>
        <w:t>주요 결과</w:t>
      </w:r>
      <w:r>
        <w:t xml:space="preserve">  서비스 사용 경험: ChatGPT 44%, Gemini 24%, Copilot 17%, Meta AI 14%, Grok 8%, Claude 6%, Character.ai 3%</w:t>
      </w:r>
    </w:p>
    <w:p>
      <w:r>
        <w:rPr>
          <w:sz w:val="20"/>
        </w:rPr>
      </w:r>
      <w:r>
        <w:rPr>
          <w:b/>
          <w:sz w:val="20"/>
        </w:rPr>
        <w:t>해석 조건과 출처</w:t>
      </w:r>
      <w:r>
        <w:rPr>
          <w:sz w:val="20"/>
        </w:rPr>
        <w:t xml:space="preserve">  전체 성인 중 브랜드별 응답률. 중복 사용 가능, Perplexity·DeepSeek 미제시를 0으로 해석하지 않음. </w:t>
      </w:r>
      <w:hyperlink r:id="rId72">
        <w:r>
          <w:rPr>
            <w:color w:val="24547A"/>
          </w:rPr>
          <w:t>결과</w:t>
        </w:r>
      </w:hyperlink>
      <w:r>
        <w:rPr>
          <w:sz w:val="20"/>
        </w:rPr>
        <w:t xml:space="preserve">, </w:t>
      </w:r>
      <w:hyperlink r:id="rId73">
        <w:r>
          <w:rPr>
            <w:color w:val="24547A"/>
          </w:rPr>
          <w:t>방법론</w:t>
        </w:r>
      </w:hyperlink>
      <w:r>
        <w:rPr>
          <w:sz w:val="20"/>
        </w:rPr>
      </w:r>
    </w:p>
    <w:p>
      <w:pPr>
        <w:pStyle w:val="Heading2"/>
      </w:pPr>
      <w:r>
        <w:t>캐나다 CIRA</w:t>
      </w:r>
    </w:p>
    <w:p>
      <w:r/>
      <w:r>
        <w:rPr>
          <w:b/>
        </w:rPr>
        <w:t>조사 기준</w:t>
      </w:r>
      <w:r>
        <w:t xml:space="preserve">  2026년 보고서, 조사 실시일 미확인. 성인 인터넷 이용자 2,000명 온라인 패널</w:t>
      </w:r>
    </w:p>
    <w:p>
      <w:r/>
      <w:r>
        <w:rPr>
          <w:b/>
        </w:rPr>
        <w:t>주요 결과</w:t>
      </w:r>
      <w:r>
        <w:t xml:space="preserve">  지난 1년 생성형 AI 이용 46%; 생성형 AI 이용자 중 AI를 검색엔진처럼 사용 52%</w:t>
      </w:r>
    </w:p>
    <w:p>
      <w:r>
        <w:rPr>
          <w:sz w:val="20"/>
        </w:rPr>
      </w:r>
      <w:r>
        <w:rPr>
          <w:b/>
          <w:sz w:val="20"/>
        </w:rPr>
        <w:t>해석 조건과 출처</w:t>
      </w:r>
      <w:r>
        <w:rPr>
          <w:sz w:val="20"/>
        </w:rPr>
        <w:t xml:space="preserve">  앞 수치와 뒤 수치의 분모가 다름. 서비스별 점유율은 제공하지 않음. </w:t>
      </w:r>
      <w:hyperlink r:id="rId74">
        <w:r>
          <w:rPr>
            <w:color w:val="24547A"/>
          </w:rPr>
          <w:t>CIRA</w:t>
        </w:r>
      </w:hyperlink>
      <w:r>
        <w:rPr>
          <w:sz w:val="20"/>
        </w:rPr>
      </w:r>
    </w:p>
    <w:p>
      <w:pPr>
        <w:pStyle w:val="Heading2"/>
      </w:pPr>
      <w:r>
        <w:t>영국 Ofcom·Ipsos iris</w:t>
      </w:r>
    </w:p>
    <w:p>
      <w:r/>
      <w:r>
        <w:rPr>
          <w:b/>
        </w:rPr>
        <w:t>조사 기준</w:t>
      </w:r>
      <w:r>
        <w:t xml:space="preserve">  2025-06. 18세 이상 인터넷 이용자의 월간 웹·앱 도달, 해당 표의 패널 n 미제시</w:t>
      </w:r>
    </w:p>
    <w:p>
      <w:r/>
      <w:r>
        <w:rPr>
          <w:b/>
        </w:rPr>
        <w:t>주요 결과</w:t>
      </w:r>
      <w:r>
        <w:t xml:space="preserve">  ChatGPT 12,990,346명, Copilot 2,551,353명, Gemini 1,745,485명, DeepSeek 835,667명, Perplexity 560,979명, Claude.ai 345,735명, Grok 225,284명</w:t>
      </w:r>
    </w:p>
    <w:p>
      <w:r>
        <w:rPr>
          <w:sz w:val="20"/>
        </w:rPr>
      </w:r>
      <w:r>
        <w:rPr>
          <w:b/>
          <w:sz w:val="20"/>
        </w:rPr>
        <w:t>해석 조건과 출처</w:t>
      </w:r>
      <w:r>
        <w:rPr>
          <w:sz w:val="20"/>
        </w:rPr>
        <w:t xml:space="preserve">  최신 2026년 MAU가 아님. 서비스 인원 중복 가능. Copilot·Gemini 검색 결과 내 통합 기능, Grok의 X 내부 사용 제외. </w:t>
      </w:r>
      <w:hyperlink r:id="rId75">
        <w:r>
          <w:rPr>
            <w:color w:val="24547A"/>
          </w:rPr>
          <w:t>Ofcom 표 2, 인쇄 17쪽</w:t>
        </w:r>
      </w:hyperlink>
      <w:r>
        <w:rPr>
          <w:sz w:val="20"/>
        </w:rPr>
      </w:r>
    </w:p>
    <w:p>
      <w:pPr>
        <w:pStyle w:val="Heading1"/>
        <w:pageBreakBefore/>
      </w:pPr>
      <w:r>
        <w:t>3 국가별 실제 이용 현황 계속</w:t>
      </w:r>
    </w:p>
    <w:p>
      <w:r>
        <w:rPr>
          <w:sz w:val="18"/>
        </w:rPr>
        <w:t>설문·도달 인원·앱 MAU는 조사 시점과 분모가 다르므로 국가 간 사용률 순위로 비교하지 않는다.</w:t>
      </w:r>
    </w:p>
    <w:p>
      <w:pPr>
        <w:pStyle w:val="Heading2"/>
      </w:pPr>
      <w:r>
        <w:t>독일 Bitkom</w:t>
      </w:r>
    </w:p>
    <w:p>
      <w:r/>
      <w:r>
        <w:rPr>
          <w:b/>
        </w:rPr>
        <w:t>조사 기준</w:t>
      </w:r>
      <w:r>
        <w:t xml:space="preserve">  2026년 8~11주차 조사, 4월 28일 발표. 16세 이상 1,003명 전화조사 중 AI 이용자</w:t>
      </w:r>
    </w:p>
    <w:p>
      <w:r/>
      <w:r>
        <w:rPr>
          <w:b/>
        </w:rPr>
        <w:t>주요 결과</w:t>
      </w:r>
      <w:r>
        <w:t xml:space="preserve">  AI 이용자 중 ChatGPT 71%, Gemini 50%, Copilot 43%, Meta AI 35%, DeepSeek 8%, Perplexity 7%, Grok 6%, Claude 5%, Le Chat 4%</w:t>
      </w:r>
    </w:p>
    <w:p>
      <w:r>
        <w:rPr>
          <w:sz w:val="20"/>
        </w:rPr>
      </w:r>
      <w:r>
        <w:rPr>
          <w:b/>
          <w:sz w:val="20"/>
        </w:rPr>
        <w:t>해석 조건과 출처</w:t>
      </w:r>
      <w:r>
        <w:rPr>
          <w:sz w:val="20"/>
        </w:rPr>
        <w:t xml:space="preserve">  전체 응답자의 AI 이용률은 58%. 서비스 비율의 분모는 AI 이용자이며 해당 하위 표본 n은 별도 미제시. </w:t>
      </w:r>
      <w:hyperlink r:id="rId76">
        <w:r>
          <w:rPr>
            <w:color w:val="24547A"/>
          </w:rPr>
          <w:t>Bitkom 원문</w:t>
        </w:r>
      </w:hyperlink>
      <w:r>
        <w:rPr>
          <w:sz w:val="20"/>
        </w:rPr>
      </w:r>
    </w:p>
    <w:p>
      <w:pPr>
        <w:pStyle w:val="Heading2"/>
      </w:pPr>
      <w:r>
        <w:t>호주 Roy Morgan</w:t>
      </w:r>
    </w:p>
    <w:p>
      <w:r/>
      <w:r>
        <w:rPr>
          <w:b/>
        </w:rPr>
        <w:t>조사 기준</w:t>
      </w:r>
      <w:r>
        <w:t xml:space="preserve">  2026-01~03 조사, 6월 2일 발표. 14세 이상 14,646명, 평균 4주 동안 사용</w:t>
      </w:r>
    </w:p>
    <w:p>
      <w:r/>
      <w:r>
        <w:rPr>
          <w:b/>
        </w:rPr>
        <w:t>주요 결과</w:t>
      </w:r>
      <w:r>
        <w:t xml:space="preserve">  ChatGPT 45%, Gemini 21%, Copilot 17%, Claude 3%</w:t>
      </w:r>
    </w:p>
    <w:p>
      <w:r>
        <w:rPr>
          <w:sz w:val="20"/>
        </w:rPr>
      </w:r>
      <w:r>
        <w:rPr>
          <w:b/>
          <w:sz w:val="20"/>
        </w:rPr>
        <w:t>해석 조건과 출처</w:t>
      </w:r>
      <w:r>
        <w:rPr>
          <w:sz w:val="20"/>
        </w:rPr>
        <w:t xml:space="preserve">  중복 사용 가능. Gemini는 Google Search 내장 기능이 아닌 능동적 이용. 디자인 도구 수치는 범위에서 제외. </w:t>
      </w:r>
      <w:hyperlink r:id="rId77">
        <w:r>
          <w:rPr>
            <w:color w:val="24547A"/>
          </w:rPr>
          <w:t>Roy Morgan</w:t>
        </w:r>
      </w:hyperlink>
      <w:r>
        <w:rPr>
          <w:sz w:val="20"/>
        </w:rPr>
      </w:r>
    </w:p>
    <w:p>
      <w:pPr>
        <w:pStyle w:val="Heading2"/>
      </w:pPr>
      <w:r>
        <w:t>브라질 Cetic.br</w:t>
      </w:r>
    </w:p>
    <w:p>
      <w:r/>
      <w:r>
        <w:rPr>
          <w:b/>
        </w:rPr>
        <w:t>조사 기준</w:t>
      </w:r>
      <w:r>
        <w:t xml:space="preserve">  2025-08-12~09-30 수집, 2026-04-10 발표. 16세 이상 인터넷 이용자 5,250명 온라인 자기기입 패널</w:t>
      </w:r>
    </w:p>
    <w:p>
      <w:r/>
      <w:r>
        <w:rPr>
          <w:b/>
        </w:rPr>
        <w:t>주요 결과</w:t>
      </w:r>
      <w:r>
        <w:t xml:space="preserve">  이용 경험: ChatGPT 47%, WhatsApp AI 42%, Gemini 30%, Copilot 14%, 기타 도구 18%</w:t>
      </w:r>
    </w:p>
    <w:p>
      <w:r>
        <w:rPr>
          <w:sz w:val="20"/>
        </w:rPr>
      </w:r>
      <w:r>
        <w:rPr>
          <w:b/>
          <w:sz w:val="20"/>
        </w:rPr>
        <w:t>해석 조건과 출처</w:t>
      </w:r>
      <w:r>
        <w:rPr>
          <w:sz w:val="20"/>
        </w:rPr>
        <w:t xml:space="preserve">  2025년 조사임을 유지. WhatsApp AI를 전체 Meta AI 이용률로 확대하지 않음. </w:t>
      </w:r>
      <w:hyperlink r:id="rId78">
        <w:r>
          <w:rPr>
            <w:color w:val="24547A"/>
          </w:rPr>
          <w:t>보고서 인쇄 44·75쪽</w:t>
        </w:r>
      </w:hyperlink>
      <w:r>
        <w:rPr>
          <w:sz w:val="20"/>
        </w:rPr>
        <w:t xml:space="preserve">, </w:t>
      </w:r>
      <w:hyperlink r:id="rId79">
        <w:r>
          <w:rPr>
            <w:color w:val="24547A"/>
          </w:rPr>
          <w:t>발표</w:t>
        </w:r>
      </w:hyperlink>
      <w:r>
        <w:rPr>
          <w:sz w:val="20"/>
        </w:rPr>
      </w:r>
    </w:p>
    <w:p>
      <w:pPr>
        <w:pStyle w:val="Heading1"/>
        <w:pageBreakBefore/>
      </w:pPr>
      <w:r>
        <w:t>4 조사 결과의 해석과 활용</w:t>
      </w:r>
    </w:p>
    <w:p>
      <w:r>
        <w:t>한국의 경험률과 일본의 현재 이용률에서는 ChatGPT와 Gemini의 수치가 9월 외부 유입 표에서 보이는 격차보다 가까워 보인다. 그러나 조사 시점과 행동의 정의가 다르므로, 이를 근거로 외부 유입 통계가 틀렸다고 판단하거나 두 자료 사이에 보정 계수를 적용할 수 없다. 사람이 서비스를 이용하는 것과, 서비스가 특정 웹사이트로 방문자를 보내는 것은 다른 행동이다. (</w:t>
      </w:r>
      <w:hyperlink r:id="rId69">
        <w:r>
          <w:rPr>
            <w:color w:val="24547A"/>
          </w:rPr>
          <w:t>오픈서베이</w:t>
        </w:r>
      </w:hyperlink>
      <w:r>
        <w:t xml:space="preserve">, </w:t>
      </w:r>
      <w:hyperlink r:id="rId71">
        <w:r>
          <w:rPr>
            <w:color w:val="24547A"/>
          </w:rPr>
          <w:t>NRC</w:t>
        </w:r>
      </w:hyperlink>
      <w:r>
        <w:t xml:space="preserve">, </w:t>
      </w:r>
      <w:hyperlink r:id="rId10">
        <w:r>
          <w:rPr>
            <w:color w:val="24547A"/>
          </w:rPr>
          <w:t>한국 외부 유입</w:t>
        </w:r>
      </w:hyperlink>
      <w:r>
        <w:t xml:space="preserve">, </w:t>
      </w:r>
      <w:hyperlink r:id="rId13">
        <w:r>
          <w:rPr>
            <w:color w:val="24547A"/>
          </w:rPr>
          <w:t>일본 외부 유입</w:t>
        </w:r>
      </w:hyperlink>
      <w:r>
        <w:t>)</w:t>
      </w:r>
    </w:p>
    <w:p>
      <w:r>
        <w:t xml:space="preserve">중국은 지표 범위의 차이를 가장 분명하게 보여 준다. QuestMobile의 세 앱 MAU를 합산하더라도 앱 간 중복 사용자를 제거한 시장 규모가 되지 않는다. 더구나 원문은 전체 AI 네이티브 앱 규모 4.99억 명의 기준을 서두에서는 5월, 본문에서는 6월로 표기한다. 본 보고서는 개별 앱의 6월 수치만 채택하고 </w:t>
      </w:r>
      <w:r>
        <w:rPr>
          <w:b/>
        </w:rPr>
        <w:t>4.99억 명을 분모로 하는 브랜드 점유율을 계산하지 않았다.</w:t>
      </w:r>
      <w:r>
        <w:t xml:space="preserve"> 현지 앱이 누락된 외부 유입 표만으로 중국 소비자 AI 시장을 설명하는 것도 피해야 한다. (</w:t>
      </w:r>
      <w:hyperlink r:id="rId27">
        <w:r>
          <w:rPr>
            <w:color w:val="24547A"/>
          </w:rPr>
          <w:t>QuestMobile 원문</w:t>
        </w:r>
      </w:hyperlink>
      <w:r>
        <w:t>)</w:t>
      </w:r>
    </w:p>
    <w:p>
      <w:r>
        <w:t>미국의 Meta AI 사용 경험 14%, 독일 AI 이용자의 Meta AI 사용률 35%, 브라질 인터넷 이용자의 WhatsApp AI 경험률 42%는 통합형 서비스의 이용을 따로 확인해야 하는 이유다. 이 셋은 동일 지표도 같은 제품 범위도 아니므로 서로 비교할 수 없지만, 외부 유입 표에 표시되지 않은 서비스가 실제로 사용되고 있다는 각국 근거다. (</w:t>
      </w:r>
      <w:hyperlink r:id="rId72">
        <w:r>
          <w:rPr>
            <w:color w:val="24547A"/>
          </w:rPr>
          <w:t>Pew</w:t>
        </w:r>
      </w:hyperlink>
      <w:r>
        <w:t xml:space="preserve">, </w:t>
      </w:r>
      <w:hyperlink r:id="rId76">
        <w:r>
          <w:rPr>
            <w:color w:val="24547A"/>
          </w:rPr>
          <w:t>Bitkom</w:t>
        </w:r>
      </w:hyperlink>
      <w:r>
        <w:t xml:space="preserve">, </w:t>
      </w:r>
      <w:hyperlink r:id="rId78">
        <w:r>
          <w:rPr>
            <w:color w:val="24547A"/>
          </w:rPr>
          <w:t>Cetic.br</w:t>
        </w:r>
      </w:hyperlink>
      <w:r>
        <w:t>)</w:t>
      </w:r>
    </w:p>
    <w:p>
      <w:r>
        <w:t>웹사이트의 AI 검색 유입 전략을 검토할 때는 국가별 외부 유입 구성을 사용할 수 있다. 소비자 도달 범위나 현지 앱 경쟁을 판단할 때는 해당 국가의 이용자 설문과 웹·앱 중복 제거 지표를 함께 확인해야 한다. 국가별 수치를 단순 평균하여 세계 또는 대륙의 시장점유율로 제시해서는 안 된다.</w:t>
      </w:r>
    </w:p>
    <w:p>
      <w:pPr>
        <w:pStyle w:val="Heading1"/>
        <w:pageBreakBefore/>
      </w:pPr>
      <w:r>
        <w:t>5 조사 범위와 한계</w:t>
      </w:r>
    </w:p>
    <w:p>
      <w:r>
        <w:t xml:space="preserve">이번 조사에서 아시아 15개, 유럽 19개, 북미 8개, 그 외 지역 15개로 </w:t>
      </w:r>
      <w:r>
        <w:rPr>
          <w:b/>
        </w:rPr>
        <w:t>총 57개 국가·시장의 관측행</w:t>
      </w:r>
      <w:r>
        <w:t>을 확보했다. 홍콩과 대만은 출처의 시장 구분을 따라 별도 행으로 표시했으므로 ‘57개 독립국 전수조사’라고 부르지 않는다. 조사 분담상 러시아·튀르키예는 유럽에, 멕시코·중미·카리브는 북미에, 서아시아·중동은 그 외 지역에 두었다. 이 구분은 자료 중복을 막기 위한 작업상 분류다.</w:t>
      </w:r>
    </w:p>
    <w:p>
      <w:r>
        <w:t>미포함 시장의 예로는 아시아의 네팔·스리랑카·몽골·우즈베키스탄, 유럽의 루마니아·그리스·발트 3국, 북미의 벨리즈·엘살바도르·온두라스·니카라과·쿠바·아이티, 그 밖의 다수 아프리카 국가와 태평양 도서국 등이 있다.</w:t>
      </w:r>
    </w:p>
    <w:p>
      <w:r>
        <w:t>미포함은 해당 국가에 자료가 전혀 없다는 판단이 아니라 이번 조사 범위의 한계다. 또한 국가별 AI 유입 절대 건수, 관측 사이트 구성, 신뢰구간은 확보하지 못했다. 따라서 소수점 차이를 통계적으로 유의미한 차이라고 주장하지 않고, 국가 비율의 단순 평균으로 ‘아시아 점유율’ 또는 ‘글로벌 점유율’을 만들지 않았다. 국가 규모를 반영한 집계를 하려면 동일한 정의의 원시 유입량이 추가로 필요하다. (</w:t>
      </w:r>
      <w:hyperlink r:id="rId11">
        <w:r>
          <w:rPr>
            <w:color w:val="24547A"/>
          </w:rPr>
          <w:t>Statcounter 일반 방법론</w:t>
        </w:r>
      </w:hyperlink>
      <w:r>
        <w:t>, 위 국가별 출처)</w:t>
      </w:r>
    </w:p>
    <w:p>
      <w:r>
        <w:t>서비스 범위에도 공백이 있다. AI Overviews·AI Mode처럼 기존 검색에 통합된 기능, Meta AI 등 메시지·소셜 앱 통합 서비스, 지역 챗봇, 기업용 도구를 표가 모두 포함한다고 확인하지 못했다. Statcounter의 2025년 6월 출시 설명은 Grok이 식별 가능한 referral header를 제공하지 않아 당시 포함할 수 없었다고 설명한다. 그 문서를 근거로 2026년 모든 채널에서 영구적으로 제외된다고 단정하지는 않았다. AI 산업 매출, 모델 성능, 클라우드 시장, 다운로드 순위는 이번 챗봇·검색 중심 비교와 분모가 달라 제외했다. (</w:t>
      </w:r>
      <w:hyperlink r:id="rId9">
        <w:r>
          <w:rPr>
            <w:color w:val="24547A"/>
          </w:rPr>
          <w:t>Statcounter 출시 설명</w:t>
        </w:r>
      </w:hyperlink>
      <w:r>
        <w:t>)</w:t>
      </w:r>
    </w:p>
    <w:p>
      <w:r>
        <w:t>멕시코의 추가 설문 두 건은 원 설문의 분모·문항을 검증하지 못해 결론에서 제외했다. 캐나다의 CIRA 자료는 브랜드별 사용률이 아니라 생성형 AI 전반의 이용과 검색 목적 이용을 보완하는 데만 썼다. 유럽 노트에 있는 Eurostat의 생성형 AI 보급률은 텍스트·이미지·코드 등 범위가 더 넓어 서비스별 주표에 합치지 않았다. 이처럼 같은 ‘AI 사용’이라는 표현이 있어도 질문이 다른 자료는 별도로 유지했다. (</w:t>
      </w:r>
      <w:hyperlink r:id="rId74">
        <w:r>
          <w:rPr>
            <w:color w:val="24547A"/>
          </w:rPr>
          <w:t>캐나다 CIRA</w:t>
        </w:r>
      </w:hyperlink>
      <w:r>
        <w:t xml:space="preserve">, </w:t>
      </w:r>
      <w:hyperlink r:id="rId80">
        <w:r>
          <w:rPr>
            <w:color w:val="24547A"/>
          </w:rPr>
          <w:t>Eurostat 보고서</w:t>
        </w:r>
      </w:hyperlink>
      <w:r>
        <w:t xml:space="preserve">, </w:t>
      </w:r>
      <w:r>
        <w:t>북미 근거 노트</w:t>
      </w:r>
      <w:r>
        <w:t>)</w:t>
      </w:r>
    </w:p>
    <w:p>
      <w:pPr>
        <w:pStyle w:val="Heading1"/>
        <w:pageBreakBefore/>
      </w:pPr>
      <w:r>
        <w:t>6 출처와 재검증 안내</w:t>
      </w:r>
    </w:p>
    <w:p>
      <w:r>
        <w:t xml:space="preserve">모든 수치의 조사 접근일은 2026년 10월 2일이다. 지역 담당별로 국가 페이지 원문에 표시된 월과 서비스별 값을 확인했고, 초기 검색·캐시에 섞여 있던 다른 월 수치는 공통 비교에서 제외했다. URL에 월 지정 해시가 있다고 해서 그 기간으로 간주하지 않고 실제 본문 표시 월을 따랐다. 이 보고서는 각국 </w:t>
      </w:r>
      <w:r>
        <w:rPr>
          <w:b/>
        </w:rPr>
        <w:t>상단 텍스트 표의 스냅샷</w:t>
      </w:r>
      <w:r>
        <w:t>을 보존한 것이며, 동적 그래프와 고정월 원시 CSV가 모두 일치하는지까지 검증한 자료는 아니다. 원문 링크를 나중에 열면 최신 월이나 수정된 값으로 바뀔 수 있으므로 기록된 조사일과 함께 인용해야 한다. (</w:t>
      </w:r>
      <w:hyperlink r:id="rId11">
        <w:r>
          <w:rPr>
            <w:color w:val="24547A"/>
          </w:rPr>
          <w:t>수정 정책</w:t>
        </w:r>
      </w:hyperlink>
      <w:r>
        <w:t>, 지역별 조사 기록)</w:t>
      </w:r>
    </w:p>
    <w:p>
      <w:pPr>
        <w:pStyle w:val="Heading2"/>
      </w:pPr>
      <w:r>
        <w:t>주요 자료 제공 기관</w:t>
      </w:r>
    </w:p>
    <w:p>
      <w:r>
        <w:t>국가별 외부 웹 유입은 Statcounter를 사용했다. 57개 국가별 직접 출처는 비교표의 국가명에 연결했다. 원문은 동적으로 갱신될 수 있으므로 인용 시 관측월과 조회일을 함께 표기한다.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7824"/>
      </w:tblGrid>
      <w:tr>
        <w:trPr>
          <w:cantSplit/>
          <w:tblHeader/>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자료</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E5EDF3"/>
          </w:tcPr>
          <w:p>
            <w:pPr>
              <w:spacing w:after="0" w:line="254" w:lineRule="auto"/>
              <w:jc w:val="center"/>
            </w:pPr>
            <w:r>
              <w:rPr>
                <w:b/>
                <w:sz w:val="19"/>
              </w:rPr>
              <w:t>기관과 확인 내용</w:t>
            </w:r>
          </w:p>
        </w:tc>
      </w:tr>
      <w:tr>
        <w:trPr>
          <w:cantSplit/>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공통 비교</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Statcounter 국가별 AI chatbot market share 및 FAQ</w:t>
            </w:r>
          </w:p>
        </w:tc>
      </w:tr>
      <w:tr>
        <w:trPr>
          <w:cantSplit/>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아시아</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오픈서베이 한국 이용 경험 / NRC 일본 현재 이용 / QuestMobile 중국 앱 MAU</w:t>
            </w:r>
          </w:p>
        </w:tc>
      </w:tr>
      <w:tr>
        <w:trPr>
          <w:cantSplit/>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북미</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Pew Research Center 미국 서비스 경험 / CIRA 캐나다 AI 이용</w:t>
            </w:r>
          </w:p>
        </w:tc>
      </w:tr>
      <w:tr>
        <w:trPr>
          <w:cantSplit/>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유럽</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6F8FA"/>
          </w:tcPr>
          <w:p>
            <w:pPr>
              <w:spacing w:after="0" w:line="254" w:lineRule="auto"/>
              <w:jc w:val="left"/>
            </w:pPr>
            <w:r>
              <w:rPr>
                <w:b w:val="0"/>
                <w:sz w:val="19"/>
              </w:rPr>
              <w:t>Ofcom와 Ipsos iris 영국 도달 인원 / Bitkom 독일 서비스 이용</w:t>
            </w:r>
          </w:p>
        </w:tc>
      </w:tr>
      <w:tr>
        <w:trPr>
          <w:cantSplit/>
        </w:trPr>
        <w:tc>
          <w:tcPr>
            <w:tcW w:type="dxa" w:w="181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기타</w:t>
            </w:r>
          </w:p>
        </w:tc>
        <w:tc>
          <w:tcPr>
            <w:tcW w:type="dxa" w:w="782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FFFFF"/>
          </w:tcPr>
          <w:p>
            <w:pPr>
              <w:spacing w:after="0" w:line="254" w:lineRule="auto"/>
              <w:jc w:val="left"/>
            </w:pPr>
            <w:r>
              <w:rPr>
                <w:b w:val="0"/>
                <w:sz w:val="19"/>
              </w:rPr>
              <w:t>Roy Morgan 호주 4주 이용 / Cetic.br 브라질 서비스 경험</w:t>
            </w:r>
          </w:p>
        </w:tc>
      </w:tr>
    </w:tbl>
    <w:p>
      <w:pPr>
        <w:spacing w:after="0"/>
      </w:pPr>
    </w:p>
    <w:p>
      <w:r>
        <w:rPr>
          <w:sz w:val="20"/>
        </w:rPr>
        <w:t>각 기관의 원문 링크와 표본·기간·분모는 실제 이용 현황 절에 함께 기재했다. 조사 기록은 asia.md, europe.md, north_america.md, other_regions.md의 네 지역별 파일에 보존되어 있다.</w:t>
      </w:r>
    </w:p>
    <w:p>
      <w:r>
        <w:rPr>
          <w:b/>
        </w:rPr>
        <w:t>권장 인용 표제: 국가별 AI 챗봇발 외부 웹사이트 유입 점유율, 2026년 9월 표시값, 2026년 10월 2일 조회.</w:t>
      </w:r>
    </w:p>
    <w:sectPr w:rsidR="00FC693F" w:rsidRPr="0006063C" w:rsidSect="00034616">
      <w:footerReference w:type="default" r:id="rId81"/>
      <w:pgSz w:w="11906" w:h="16838"/>
      <w:pgMar w:top="1020" w:right="1134" w:bottom="1020" w:left="1134" w:header="720" w:footer="51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88" w:lineRule="auto"/>
      <w:snapToGrid w:val="0"/>
    </w:pPr>
    <w:rPr>
      <w:rFonts w:ascii="맑은 고딕" w:hAnsi="맑은 고딕" w:eastAsia="맑은 고딕" w:cs="맑은 고딕"/>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88" w:lineRule="auto"/>
      <w:outlineLvl w:val="0"/>
      <w:snapToGrid w:val="0"/>
    </w:pPr>
    <w:rPr>
      <w:rFonts w:asciiTheme="majorHAnsi" w:eastAsiaTheme="majorEastAsia" w:hAnsiTheme="majorHAnsi" w:cstheme="majorBidi" w:ascii="맑은 고딕" w:hAnsi="맑은 고딕" w:eastAsia="맑은 고딕" w:cs="맑은 고딕"/>
      <w:b/>
      <w:bCs/>
      <w:i w:val="0"/>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88" w:lineRule="auto"/>
      <w:outlineLvl w:val="1"/>
      <w:snapToGrid w:val="0"/>
    </w:pPr>
    <w:rPr>
      <w:rFonts w:asciiTheme="majorHAnsi" w:eastAsiaTheme="majorEastAsia" w:hAnsiTheme="majorHAnsi" w:cstheme="majorBidi" w:ascii="맑은 고딕" w:hAnsi="맑은 고딕" w:eastAsia="맑은 고딕" w:cs="맑은 고딕"/>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line="288" w:lineRule="auto"/>
      <w:outlineLvl w:val="2"/>
      <w:snapToGrid w:val="0"/>
    </w:pPr>
    <w:rPr>
      <w:rFonts w:asciiTheme="majorHAnsi" w:eastAsiaTheme="majorEastAsia" w:hAnsiTheme="majorHAnsi" w:cstheme="majorBidi" w:ascii="맑은 고딕" w:hAnsi="맑은 고딕" w:eastAsia="맑은 고딕" w:cs="맑은 고딕"/>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napToGrid w:val="0"/>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napToGrid w:val="0"/>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napToGrid w:val="0"/>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napToGrid w:val="0"/>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napToGrid w:val="0"/>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napToGrid w:val="0"/>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napToGrid w:val="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8" w:lineRule="auto"/>
      <w:contextualSpacing/>
      <w:snapToGrid w:val="0"/>
    </w:pPr>
    <w:rPr>
      <w:rFonts w:asciiTheme="majorHAnsi" w:eastAsiaTheme="majorEastAsia" w:hAnsiTheme="majorHAnsi" w:cstheme="majorBidi" w:ascii="맑은 고딕" w:hAnsi="맑은 고딕" w:eastAsia="맑은 고딕" w:cs="맑은 고딕"/>
      <w:b/>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88" w:lineRule="auto"/>
      <w:snapToGrid w:val="0"/>
    </w:pPr>
    <w:rPr>
      <w:rFonts w:asciiTheme="majorHAnsi" w:eastAsiaTheme="majorEastAsia" w:hAnsiTheme="majorHAnsi" w:cstheme="majorBidi" w:ascii="맑은 고딕" w:hAnsi="맑은 고딕" w:eastAsia="맑은 고딕" w:cs="맑은 고딕"/>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snapToGrid w:val="0"/>
    </w:pPr>
  </w:style>
  <w:style w:type="paragraph" w:styleId="BodyText">
    <w:name w:val="Body Text"/>
    <w:basedOn w:val="Normal"/>
    <w:link w:val="BodyTextChar"/>
    <w:uiPriority w:val="99"/>
    <w:unhideWhenUsed/>
    <w:rsid w:val="00AA1D8D"/>
    <w:pPr>
      <w:spacing w:after="120"/>
      <w:snapToGrid w:val="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napToGrid w:val="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napToGrid w:val="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snapToGrid w:val="0"/>
    </w:pPr>
  </w:style>
  <w:style w:type="paragraph" w:styleId="List2">
    <w:name w:val="List 2"/>
    <w:basedOn w:val="Normal"/>
    <w:uiPriority w:val="99"/>
    <w:unhideWhenUsed/>
    <w:rsid w:val="00326F90"/>
    <w:pPr>
      <w:ind w:left="720" w:hanging="360"/>
      <w:contextualSpacing/>
      <w:snapToGrid w:val="0"/>
    </w:pPr>
  </w:style>
  <w:style w:type="paragraph" w:styleId="List3">
    <w:name w:val="List 3"/>
    <w:basedOn w:val="Normal"/>
    <w:uiPriority w:val="99"/>
    <w:unhideWhenUsed/>
    <w:rsid w:val="00326F90"/>
    <w:pPr>
      <w:ind w:left="1080" w:hanging="360"/>
      <w:contextualSpacing/>
      <w:snapToGrid w:val="0"/>
    </w:pPr>
  </w:style>
  <w:style w:type="paragraph" w:styleId="ListBullet">
    <w:name w:val="List Bullet"/>
    <w:basedOn w:val="Normal"/>
    <w:uiPriority w:val="99"/>
    <w:unhideWhenUsed/>
    <w:rsid w:val="00326F90"/>
    <w:pPr>
      <w:numPr>
        <w:numId w:val="1"/>
      </w:numPr>
      <w:contextualSpacing/>
      <w:snapToGrid w:val="0"/>
    </w:pPr>
  </w:style>
  <w:style w:type="paragraph" w:styleId="ListBullet2">
    <w:name w:val="List Bullet 2"/>
    <w:basedOn w:val="Normal"/>
    <w:uiPriority w:val="99"/>
    <w:unhideWhenUsed/>
    <w:rsid w:val="00326F90"/>
    <w:pPr>
      <w:numPr>
        <w:numId w:val="2"/>
      </w:numPr>
      <w:contextualSpacing/>
      <w:snapToGrid w:val="0"/>
    </w:pPr>
  </w:style>
  <w:style w:type="paragraph" w:styleId="ListBullet3">
    <w:name w:val="List Bullet 3"/>
    <w:basedOn w:val="Normal"/>
    <w:uiPriority w:val="99"/>
    <w:unhideWhenUsed/>
    <w:rsid w:val="00326F90"/>
    <w:pPr>
      <w:numPr>
        <w:numId w:val="3"/>
      </w:numPr>
      <w:contextualSpacing/>
      <w:snapToGrid w:val="0"/>
    </w:pPr>
  </w:style>
  <w:style w:type="paragraph" w:styleId="ListNumber">
    <w:name w:val="List Number"/>
    <w:basedOn w:val="Normal"/>
    <w:uiPriority w:val="99"/>
    <w:unhideWhenUsed/>
    <w:rsid w:val="00326F90"/>
    <w:pPr>
      <w:numPr>
        <w:numId w:val="5"/>
      </w:numPr>
      <w:contextualSpacing/>
      <w:snapToGrid w:val="0"/>
    </w:pPr>
  </w:style>
  <w:style w:type="paragraph" w:styleId="ListNumber2">
    <w:name w:val="List Number 2"/>
    <w:basedOn w:val="Normal"/>
    <w:uiPriority w:val="99"/>
    <w:unhideWhenUsed/>
    <w:rsid w:val="0029639D"/>
    <w:pPr>
      <w:numPr>
        <w:numId w:val="6"/>
      </w:numPr>
      <w:contextualSpacing/>
      <w:snapToGrid w:val="0"/>
    </w:pPr>
  </w:style>
  <w:style w:type="paragraph" w:styleId="ListNumber3">
    <w:name w:val="List Number 3"/>
    <w:basedOn w:val="Normal"/>
    <w:uiPriority w:val="99"/>
    <w:unhideWhenUsed/>
    <w:rsid w:val="0029639D"/>
    <w:pPr>
      <w:numPr>
        <w:numId w:val="7"/>
      </w:numPr>
      <w:contextualSpacing/>
      <w:snapToGrid w:val="0"/>
    </w:pPr>
  </w:style>
  <w:style w:type="paragraph" w:styleId="ListContinue">
    <w:name w:val="List Continue"/>
    <w:basedOn w:val="Normal"/>
    <w:uiPriority w:val="99"/>
    <w:unhideWhenUsed/>
    <w:rsid w:val="0029639D"/>
    <w:pPr>
      <w:spacing w:after="120"/>
      <w:ind w:left="360"/>
      <w:contextualSpacing/>
      <w:snapToGrid w:val="0"/>
    </w:pPr>
  </w:style>
  <w:style w:type="paragraph" w:styleId="ListContinue2">
    <w:name w:val="List Continue 2"/>
    <w:basedOn w:val="Normal"/>
    <w:uiPriority w:val="99"/>
    <w:unhideWhenUsed/>
    <w:rsid w:val="0029639D"/>
    <w:pPr>
      <w:spacing w:after="120"/>
      <w:ind w:left="720"/>
      <w:contextualSpacing/>
      <w:snapToGrid w:val="0"/>
    </w:pPr>
  </w:style>
  <w:style w:type="paragraph" w:styleId="ListContinue3">
    <w:name w:val="List Continue 3"/>
    <w:basedOn w:val="Normal"/>
    <w:uiPriority w:val="99"/>
    <w:unhideWhenUsed/>
    <w:rsid w:val="0029639D"/>
    <w:pPr>
      <w:spacing w:after="120"/>
      <w:ind w:left="1080"/>
      <w:contextualSpacing/>
      <w:snapToGrid w:val="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napToGrid w:val="0"/>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napToGrid w:val="0"/>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napToGrid w:val="0"/>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snapToGrid w:val="0"/>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napToGrid w:val="0"/>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s.statcounter.com/press/new-statcounter-ai-data-finds-chatgpt-sends-79-perc-of-all-chatbot-referrals-to-websites" TargetMode="External"/><Relationship Id="rId10" Type="http://schemas.openxmlformats.org/officeDocument/2006/relationships/hyperlink" Target="https://gs.statcounter.com/ai-chatbot-market-share/all/south-korea/" TargetMode="External"/><Relationship Id="rId11" Type="http://schemas.openxmlformats.org/officeDocument/2006/relationships/hyperlink" Target="https://gs.statcounter.com/faq" TargetMode="External"/><Relationship Id="rId12" Type="http://schemas.openxmlformats.org/officeDocument/2006/relationships/hyperlink" Target="https://gs.statcounter.com/ai-chatbot-market-share/all/united-states-of-america/" TargetMode="External"/><Relationship Id="rId13" Type="http://schemas.openxmlformats.org/officeDocument/2006/relationships/hyperlink" Target="https://gs.statcounter.com/ai-chatbot-market-share/all/japan/" TargetMode="External"/><Relationship Id="rId14" Type="http://schemas.openxmlformats.org/officeDocument/2006/relationships/hyperlink" Target="https://gs.statcounter.com/ai-chatbot-market-share/all/china/" TargetMode="External"/><Relationship Id="rId15" Type="http://schemas.openxmlformats.org/officeDocument/2006/relationships/hyperlink" Target="https://gs.statcounter.com/ai-chatbot-market-share/all/india/" TargetMode="External"/><Relationship Id="rId16" Type="http://schemas.openxmlformats.org/officeDocument/2006/relationships/hyperlink" Target="https://gs.statcounter.com/ai-chatbot-market-share/all/indonesia/" TargetMode="External"/><Relationship Id="rId17" Type="http://schemas.openxmlformats.org/officeDocument/2006/relationships/hyperlink" Target="https://gs.statcounter.com/ai-chatbot-market-share/all/viet-nam/" TargetMode="External"/><Relationship Id="rId18" Type="http://schemas.openxmlformats.org/officeDocument/2006/relationships/hyperlink" Target="https://gs.statcounter.com/ai-chatbot-market-share/all/thailand/" TargetMode="External"/><Relationship Id="rId19" Type="http://schemas.openxmlformats.org/officeDocument/2006/relationships/hyperlink" Target="https://gs.statcounter.com/ai-chatbot-market-share/all/singapore/" TargetMode="External"/><Relationship Id="rId20" Type="http://schemas.openxmlformats.org/officeDocument/2006/relationships/hyperlink" Target="https://gs.statcounter.com/ai-chatbot-market-share/all/malaysia/" TargetMode="External"/><Relationship Id="rId21" Type="http://schemas.openxmlformats.org/officeDocument/2006/relationships/hyperlink" Target="https://gs.statcounter.com/ai-chatbot-market-share/all/philippines/" TargetMode="External"/><Relationship Id="rId22" Type="http://schemas.openxmlformats.org/officeDocument/2006/relationships/hyperlink" Target="https://gs.statcounter.com/ai-chatbot-market-share/all/taiwan/" TargetMode="External"/><Relationship Id="rId23" Type="http://schemas.openxmlformats.org/officeDocument/2006/relationships/hyperlink" Target="https://gs.statcounter.com/ai-chatbot-market-share/all/hong-kong/" TargetMode="External"/><Relationship Id="rId24" Type="http://schemas.openxmlformats.org/officeDocument/2006/relationships/hyperlink" Target="https://gs.statcounter.com/ai-chatbot-market-share/all/pakistan/" TargetMode="External"/><Relationship Id="rId25" Type="http://schemas.openxmlformats.org/officeDocument/2006/relationships/hyperlink" Target="https://gs.statcounter.com/ai-chatbot-market-share/all/bangladesh/" TargetMode="External"/><Relationship Id="rId26" Type="http://schemas.openxmlformats.org/officeDocument/2006/relationships/hyperlink" Target="https://gs.statcounter.com/ai-chatbot-market-share/all/kazakhstan/" TargetMode="External"/><Relationship Id="rId27" Type="http://schemas.openxmlformats.org/officeDocument/2006/relationships/hyperlink" Target="https://www.questmobile.com.cn/research/report/2076954943839809537/" TargetMode="External"/><Relationship Id="rId28" Type="http://schemas.openxmlformats.org/officeDocument/2006/relationships/hyperlink" Target="https://gs.statcounter.com/ai-chatbot-market-share/all/united-kingdom/" TargetMode="External"/><Relationship Id="rId29" Type="http://schemas.openxmlformats.org/officeDocument/2006/relationships/hyperlink" Target="https://gs.statcounter.com/ai-chatbot-market-share/all/germany/" TargetMode="External"/><Relationship Id="rId30" Type="http://schemas.openxmlformats.org/officeDocument/2006/relationships/hyperlink" Target="https://gs.statcounter.com/ai-chatbot-market-share/all/france/" TargetMode="External"/><Relationship Id="rId31" Type="http://schemas.openxmlformats.org/officeDocument/2006/relationships/hyperlink" Target="https://gs.statcounter.com/ai-chatbot-market-share/all/spain/" TargetMode="External"/><Relationship Id="rId32" Type="http://schemas.openxmlformats.org/officeDocument/2006/relationships/hyperlink" Target="https://gs.statcounter.com/ai-chatbot-market-share/all/italy/" TargetMode="External"/><Relationship Id="rId33" Type="http://schemas.openxmlformats.org/officeDocument/2006/relationships/hyperlink" Target="https://gs.statcounter.com/ai-chatbot-market-share/all/netherlands/" TargetMode="External"/><Relationship Id="rId34" Type="http://schemas.openxmlformats.org/officeDocument/2006/relationships/hyperlink" Target="https://gs.statcounter.com/ai-chatbot-market-share/all/poland/" TargetMode="External"/><Relationship Id="rId35" Type="http://schemas.openxmlformats.org/officeDocument/2006/relationships/hyperlink" Target="https://gs.statcounter.com/ai-chatbot-market-share/all/sweden/" TargetMode="External"/><Relationship Id="rId36" Type="http://schemas.openxmlformats.org/officeDocument/2006/relationships/hyperlink" Target="https://gs.statcounter.com/ai-chatbot-market-share/all/norway/" TargetMode="External"/><Relationship Id="rId37" Type="http://schemas.openxmlformats.org/officeDocument/2006/relationships/hyperlink" Target="https://gs.statcounter.com/ai-chatbot-market-share/all/finland/" TargetMode="External"/><Relationship Id="rId38" Type="http://schemas.openxmlformats.org/officeDocument/2006/relationships/hyperlink" Target="https://gs.statcounter.com/ai-chatbot-market-share/all/denmark/" TargetMode="External"/><Relationship Id="rId39" Type="http://schemas.openxmlformats.org/officeDocument/2006/relationships/hyperlink" Target="https://gs.statcounter.com/ai-chatbot-market-share/all/switzerland/" TargetMode="External"/><Relationship Id="rId40" Type="http://schemas.openxmlformats.org/officeDocument/2006/relationships/hyperlink" Target="https://gs.statcounter.com/ai-chatbot-market-share/all/austria/" TargetMode="External"/><Relationship Id="rId41" Type="http://schemas.openxmlformats.org/officeDocument/2006/relationships/hyperlink" Target="https://gs.statcounter.com/ai-chatbot-market-share/all/belgium/" TargetMode="External"/><Relationship Id="rId42" Type="http://schemas.openxmlformats.org/officeDocument/2006/relationships/hyperlink" Target="https://gs.statcounter.com/ai-chatbot-market-share/all/portugal/" TargetMode="External"/><Relationship Id="rId43" Type="http://schemas.openxmlformats.org/officeDocument/2006/relationships/hyperlink" Target="https://gs.statcounter.com/ai-chatbot-market-share/all/czech-republic/" TargetMode="External"/><Relationship Id="rId44" Type="http://schemas.openxmlformats.org/officeDocument/2006/relationships/hyperlink" Target="https://gs.statcounter.com/ai-chatbot-market-share/all/ireland/" TargetMode="External"/><Relationship Id="rId45" Type="http://schemas.openxmlformats.org/officeDocument/2006/relationships/hyperlink" Target="https://gs.statcounter.com/ai-chatbot-market-share/all/russian-federation/" TargetMode="External"/><Relationship Id="rId46" Type="http://schemas.openxmlformats.org/officeDocument/2006/relationships/hyperlink" Target="https://gs.statcounter.com/ai-chatbot-market-share/all/turkey/" TargetMode="External"/><Relationship Id="rId47" Type="http://schemas.openxmlformats.org/officeDocument/2006/relationships/hyperlink" Target="https://gs.statcounter.com/ai-chatbot-market-share/all/canada/" TargetMode="External"/><Relationship Id="rId48" Type="http://schemas.openxmlformats.org/officeDocument/2006/relationships/hyperlink" Target="https://gs.statcounter.com/ai-chatbot-market-share/all/mexico/" TargetMode="External"/><Relationship Id="rId49" Type="http://schemas.openxmlformats.org/officeDocument/2006/relationships/hyperlink" Target="https://gs.statcounter.com/ai-chatbot-market-share/all/costa-rica/" TargetMode="External"/><Relationship Id="rId50" Type="http://schemas.openxmlformats.org/officeDocument/2006/relationships/hyperlink" Target="https://gs.statcounter.com/ai-chatbot-market-share/all/guatemala/" TargetMode="External"/><Relationship Id="rId51" Type="http://schemas.openxmlformats.org/officeDocument/2006/relationships/hyperlink" Target="https://gs.statcounter.com/ai-chatbot-market-share/all/panama/" TargetMode="External"/><Relationship Id="rId52" Type="http://schemas.openxmlformats.org/officeDocument/2006/relationships/hyperlink" Target="https://gs.statcounter.com/ai-chatbot-market-share/all/dominican-republic/" TargetMode="External"/><Relationship Id="rId53" Type="http://schemas.openxmlformats.org/officeDocument/2006/relationships/hyperlink" Target="https://gs.statcounter.com/ai-chatbot-market-share/all/jamaica/" TargetMode="External"/><Relationship Id="rId54" Type="http://schemas.openxmlformats.org/officeDocument/2006/relationships/hyperlink" Target="https://gs.statcounter.com/ai-chatbot-market-share/all/brazil" TargetMode="External"/><Relationship Id="rId55" Type="http://schemas.openxmlformats.org/officeDocument/2006/relationships/hyperlink" Target="https://gs.statcounter.com/ai-chatbot-market-share/all/argentina" TargetMode="External"/><Relationship Id="rId56" Type="http://schemas.openxmlformats.org/officeDocument/2006/relationships/hyperlink" Target="https://gs.statcounter.com/ai-chatbot-market-share/all/chile" TargetMode="External"/><Relationship Id="rId57" Type="http://schemas.openxmlformats.org/officeDocument/2006/relationships/hyperlink" Target="https://gs.statcounter.com/ai-chatbot-market-share/all/colombia" TargetMode="External"/><Relationship Id="rId58" Type="http://schemas.openxmlformats.org/officeDocument/2006/relationships/hyperlink" Target="https://gs.statcounter.com/ai-chatbot-market-share/all/peru" TargetMode="External"/><Relationship Id="rId59" Type="http://schemas.openxmlformats.org/officeDocument/2006/relationships/hyperlink" Target="https://gs.statcounter.com/ai-chatbot-market-share/all/australia" TargetMode="External"/><Relationship Id="rId60" Type="http://schemas.openxmlformats.org/officeDocument/2006/relationships/hyperlink" Target="https://gs.statcounter.com/ai-chatbot-market-share/all/new-zealand" TargetMode="External"/><Relationship Id="rId61" Type="http://schemas.openxmlformats.org/officeDocument/2006/relationships/hyperlink" Target="https://gs.statcounter.com/ai-chatbot-market-share/all/saudi-arabia" TargetMode="External"/><Relationship Id="rId62" Type="http://schemas.openxmlformats.org/officeDocument/2006/relationships/hyperlink" Target="https://gs.statcounter.com/ai-chatbot-market-share/all/united-arab-emirates" TargetMode="External"/><Relationship Id="rId63" Type="http://schemas.openxmlformats.org/officeDocument/2006/relationships/hyperlink" Target="https://gs.statcounter.com/ai-chatbot-market-share/all/israel" TargetMode="External"/><Relationship Id="rId64" Type="http://schemas.openxmlformats.org/officeDocument/2006/relationships/hyperlink" Target="https://gs.statcounter.com/ai-chatbot-market-share/all/south-africa" TargetMode="External"/><Relationship Id="rId65" Type="http://schemas.openxmlformats.org/officeDocument/2006/relationships/hyperlink" Target="https://gs.statcounter.com/ai-chatbot-market-share/all/nigeria" TargetMode="External"/><Relationship Id="rId66" Type="http://schemas.openxmlformats.org/officeDocument/2006/relationships/hyperlink" Target="https://gs.statcounter.com/ai-chatbot-market-share/all/egypt" TargetMode="External"/><Relationship Id="rId67" Type="http://schemas.openxmlformats.org/officeDocument/2006/relationships/hyperlink" Target="https://gs.statcounter.com/ai-chatbot-market-share/all/kenya" TargetMode="External"/><Relationship Id="rId68" Type="http://schemas.openxmlformats.org/officeDocument/2006/relationships/hyperlink" Target="https://gs.statcounter.com/ai-chatbot-market-share/all/morocco" TargetMode="External"/><Relationship Id="rId69" Type="http://schemas.openxmlformats.org/officeDocument/2006/relationships/hyperlink" Target="https://blog.opensurvey.co.kr/article/ai-search-2-2026-2/" TargetMode="External"/><Relationship Id="rId70" Type="http://schemas.openxmlformats.org/officeDocument/2006/relationships/hyperlink" Target="https://blog.opensurvey.co.kr/trendreport/ai-search-2-2026/" TargetMode="External"/><Relationship Id="rId71" Type="http://schemas.openxmlformats.org/officeDocument/2006/relationships/hyperlink" Target="https://www.nrc.co.jp/report/260710.html" TargetMode="External"/><Relationship Id="rId72" Type="http://schemas.openxmlformats.org/officeDocument/2006/relationships/hyperlink" Target="https://www.pewresearch.org/internet/2026/06/17/americans-and-ai-2026-chatbots-smart-devices-and-views-on-impact/" TargetMode="External"/><Relationship Id="rId73" Type="http://schemas.openxmlformats.org/officeDocument/2006/relationships/hyperlink" Target="https://www.pewresearch.org/internet/2026/06/17/americans-and-ai-methodology/" TargetMode="External"/><Relationship Id="rId74" Type="http://schemas.openxmlformats.org/officeDocument/2006/relationships/hyperlink" Target="https://www.cira.ca/en/resources/documents/state-of-internet/canadian-internet-trends-2026/" TargetMode="External"/><Relationship Id="rId75" Type="http://schemas.openxmlformats.org/officeDocument/2006/relationships/hyperlink" Target="https://www.ofcom.org.uk/siteassets/resources/documents/research-and-data/online-research/other/the-era-of-answer-engines---discussion-paper.pdf?v=407139" TargetMode="External"/><Relationship Id="rId76" Type="http://schemas.openxmlformats.org/officeDocument/2006/relationships/hyperlink" Target="https://www.bitkom.org/print/pdf/node/27309" TargetMode="External"/><Relationship Id="rId77" Type="http://schemas.openxmlformats.org/officeDocument/2006/relationships/hyperlink" Target="https://www.roymorgan.com/findings/10248-artificial-intelligence-ai-tools-usage-march-2026" TargetMode="External"/><Relationship Id="rId78" Type="http://schemas.openxmlformats.org/officeDocument/2006/relationships/hyperlink" Target="https://www.cetic.br/media/docs/publicacoes/2/pt-br/20260408150919/painel_tic_integridade_informacao_2026_livro_pt.pdf" TargetMode="External"/><Relationship Id="rId79" Type="http://schemas.openxmlformats.org/officeDocument/2006/relationships/hyperlink" Target="https://www.cetic.br/pt/noticia/plataformas-da-internet-sao-o-principal-meio-de-acesso-a-informacao-entre-brasileiros-e-superam-radio-e-tv-aponta-nova-pesquisa/" TargetMode="External"/><Relationship Id="rId80" Type="http://schemas.openxmlformats.org/officeDocument/2006/relationships/hyperlink" Target="https://ec.europa.eu/eurostat/documents/7870049/23260410/KS-01-26-009-EN-N.pdf/37d063cb-28cf-3b4e-91f3-c3784c970842?t=1774528533658&amp;version=1.1" TargetMode="External"/><Relationship Id="rId8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국가별 AI 서비스 점유율 조사</dc:title>
  <dc:subject>57개 국가 및 시장의 생성형 AI 챗봇과 검색 서비스 비교</dc:subject>
  <dc:creator/>
  <cp:keywords>AI, 챗봇, 검색, 국가별, 점유율</cp:keywords>
  <dc:description>generated by python-docx</dc:description>
  <cp:lastModifiedBy/>
  <cp:revision>1</cp:revision>
  <dcterms:created xsi:type="dcterms:W3CDTF">2013-12-23T23:15:00Z</dcterms:created>
  <dcterms:modified xsi:type="dcterms:W3CDTF">2013-12-23T23:15:00Z</dcterms:modified>
  <cp:category/>
</cp:coreProperties>
</file>