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거래원장 통계분석기법 정리</w:t>
      </w:r>
    </w:p>
    <w:p>
      <w:r>
        <w:t>거래원장 8000건에 적용할 분석 항목과 적용 조건    |    정리일 2026년 10월 1일</w:t>
      </w:r>
    </w:p>
    <w:p>
      <w:r>
        <w:t>금액 분포와 부서 구성의 차이를 먼저 확인하고, 범주 간 관계·회귀모형·요일 패턴·이상거래를 순서대로 분석한다. 본 문서는 분석 설계표이며, 아래 검정이나 모형의 유의성·예측력이 확인되었다는 뜻은 아니다.</w:t>
      </w:r>
    </w:p>
    <w:p>
      <w:r>
        <w:t>원장: 거래원장_8000건.xlsx / 거래내역 시트 A1:E8001 / 거래 8,000건 / 2026-07-01부터 09-30까지 92일.</w:t>
      </w:r>
    </w:p>
    <w:p>
      <w:r>
        <w:t>변수: 날짜·금액·매출/매입·부서·결제수단 / 매출 4,800건, 매입 3,200건 / 부서 9개, 결제수단 3개.</w:t>
      </w:r>
    </w:p>
    <w:p>
      <w:r>
        <w:t>금액: 평균 1,199,020.29원, 중앙값 296,300원, 최대 120,000,000원 / 주요 열 결측 0건, 동일 행 0건.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0" w:type="dxa"/>
          <w:bottom w:w="60" w:type="dxa"/>
          <w:left w:w="95" w:type="dxa"/>
          <w:right w:w="95" w:type="dxa"/>
        </w:tblCellMar>
      </w:tblPr>
      <w:tblGrid>
        <w:gridCol w:w="5669"/>
        <w:gridCol w:w="2268"/>
        <w:gridCol w:w="2268"/>
        <w:gridCol w:w="4819"/>
      </w:tblGrid>
      <w:tr>
        <w:trPr>
          <w:cantSplit/>
          <w:tblHeader/>
        </w:trPr>
        <w:tc>
          <w:tcPr>
            <w:tcW w:type="dxa" w:w="566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분류</w:t>
            </w:r>
          </w:p>
        </w:tc>
        <w:tc>
          <w:tcPr>
            <w:tcW w:type="dxa" w:w="2268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주요 묶음 수</w:t>
            </w:r>
          </w:p>
        </w:tc>
        <w:tc>
          <w:tcPr>
            <w:tcW w:type="dxa" w:w="2268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세부 항목 수</w:t>
            </w:r>
          </w:p>
        </w:tc>
        <w:tc>
          <w:tcPr>
            <w:tcW w:type="dxa" w:w="481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세부 번호</w:t>
            </w:r>
          </w:p>
        </w:tc>
      </w:tr>
      <w:tr>
        <w:trPr>
          <w:cantSplit/>
        </w:trPr>
        <w:tc>
          <w:tcPr>
            <w:tcW w:type="dxa" w:w="566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분포와 거래 구조</w:t>
            </w:r>
          </w:p>
        </w:tc>
        <w:tc>
          <w:tcPr>
            <w:tcW w:type="dxa" w:w="2268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2268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4819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01–17</w:t>
            </w:r>
          </w:p>
        </w:tc>
      </w:tr>
      <w:tr>
        <w:trPr>
          <w:cantSplit/>
        </w:trPr>
        <w:tc>
          <w:tcPr>
            <w:tcW w:type="dxa" w:w="566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집단 간 금액 비교</w:t>
            </w:r>
          </w:p>
        </w:tc>
        <w:tc>
          <w:tcPr>
            <w:tcW w:type="dxa" w:w="2268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2268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4819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18–28</w:t>
            </w:r>
          </w:p>
        </w:tc>
      </w:tr>
      <w:tr>
        <w:trPr>
          <w:cantSplit/>
        </w:trPr>
        <w:tc>
          <w:tcPr>
            <w:tcW w:type="dxa" w:w="566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범주형 변수의 관계</w:t>
            </w:r>
          </w:p>
        </w:tc>
        <w:tc>
          <w:tcPr>
            <w:tcW w:type="dxa" w:w="2268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2268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4819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29–41</w:t>
            </w:r>
          </w:p>
        </w:tc>
      </w:tr>
      <w:tr>
        <w:trPr>
          <w:cantSplit/>
        </w:trPr>
        <w:tc>
          <w:tcPr>
            <w:tcW w:type="dxa" w:w="566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금액과 거래 건수의 회귀모형</w:t>
            </w:r>
          </w:p>
        </w:tc>
        <w:tc>
          <w:tcPr>
            <w:tcW w:type="dxa" w:w="2268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2268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4819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42–55</w:t>
            </w:r>
          </w:p>
        </w:tc>
      </w:tr>
      <w:tr>
        <w:trPr>
          <w:cantSplit/>
        </w:trPr>
        <w:tc>
          <w:tcPr>
            <w:tcW w:type="dxa" w:w="566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날짜와 시계열</w:t>
            </w:r>
          </w:p>
        </w:tc>
        <w:tc>
          <w:tcPr>
            <w:tcW w:type="dxa" w:w="2268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2268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4819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56–74</w:t>
            </w:r>
          </w:p>
        </w:tc>
      </w:tr>
      <w:tr>
        <w:trPr>
          <w:cantSplit/>
        </w:trPr>
        <w:tc>
          <w:tcPr>
            <w:tcW w:type="dxa" w:w="566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이상거래와 거래 유형</w:t>
            </w:r>
          </w:p>
        </w:tc>
        <w:tc>
          <w:tcPr>
            <w:tcW w:type="dxa" w:w="2268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2268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4819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75–85</w:t>
            </w:r>
          </w:p>
        </w:tc>
      </w:tr>
      <w:tr>
        <w:trPr>
          <w:cantSplit/>
        </w:trPr>
        <w:tc>
          <w:tcPr>
            <w:tcW w:type="dxa" w:w="566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검증과 보완 방법</w:t>
            </w:r>
          </w:p>
        </w:tc>
        <w:tc>
          <w:tcPr>
            <w:tcW w:type="dxa" w:w="2268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2268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4819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86–96</w:t>
            </w:r>
          </w:p>
        </w:tc>
      </w:tr>
      <w:tr>
        <w:trPr>
          <w:cantSplit/>
        </w:trPr>
        <w:tc>
          <w:tcPr>
            <w:tcW w:type="dxa" w:w="566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합계</w:t>
            </w:r>
          </w:p>
        </w:tc>
        <w:tc>
          <w:tcPr>
            <w:tcW w:type="dxa" w:w="2268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50</w:t>
            </w:r>
          </w:p>
        </w:tc>
        <w:tc>
          <w:tcPr>
            <w:tcW w:type="dxa" w:w="2268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96</w:t>
            </w:r>
          </w:p>
        </w:tc>
        <w:tc>
          <w:tcPr>
            <w:tcW w:type="dxa" w:w="4819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주요 분석 44묶음 + 보완 6묶음</w:t>
            </w:r>
          </w:p>
        </w:tc>
      </w:tr>
    </w:tbl>
    <w:p>
      <w:pPr>
        <w:spacing w:after="0"/>
      </w:pPr>
    </w:p>
    <w:p>
      <w:r>
        <w:t>집계 기준: 통계량·그림·검정·모형 변형·진단 범주를 이름별로 센다. 개념 간 중첩이 있으므로 독립적인 통계기법 96종을 뜻하지 않는다. 앞서 안내한 97개는 분포와 거래 구조를 1개 더 센 값이며, 주요 분석 85개와 보완 방법 11개가 정확한 집계다.</w:t>
      </w:r>
    </w:p>
    <w:p>
      <w:r>
        <w:t>해석 범위: 원장 G1에 실습용 가상 거래원장이라고 명시되어 있다. 분석 결과는 가상 데이터의 패턴을 설명하는 범위로 해석한다. 우선 적용·조건부·탐색용은 이 원장에 대한 적용 판단이다.</w:t>
      </w:r>
    </w:p>
    <w:p>
      <w:pPr>
        <w:pStyle w:val="Heading1"/>
        <w:pageBreakBefore/>
      </w:pPr>
      <w:r>
        <w:t>1 분포와 거래 구조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0" w:type="dxa"/>
          <w:bottom w:w="60" w:type="dxa"/>
          <w:left w:w="95" w:type="dxa"/>
          <w:right w:w="95" w:type="dxa"/>
        </w:tblCellMar>
      </w:tblPr>
      <w:tblGrid>
        <w:gridCol w:w="709"/>
        <w:gridCol w:w="2523"/>
        <w:gridCol w:w="4535"/>
        <w:gridCol w:w="6038"/>
        <w:gridCol w:w="1219"/>
      </w:tblGrid>
      <w:tr>
        <w:trPr>
          <w:cantSplit/>
          <w:tblHeader/>
        </w:trPr>
        <w:tc>
          <w:tcPr>
            <w:tcW w:type="dxa" w:w="70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번호</w:t>
            </w:r>
          </w:p>
        </w:tc>
        <w:tc>
          <w:tcPr>
            <w:tcW w:type="dxa" w:w="2523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기법 또는 지표</w:t>
            </w:r>
          </w:p>
        </w:tc>
        <w:tc>
          <w:tcPr>
            <w:tcW w:type="dxa" w:w="4535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원장에서의 적용 목적</w:t>
            </w:r>
          </w:p>
        </w:tc>
        <w:tc>
          <w:tcPr>
            <w:tcW w:type="dxa" w:w="6038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적용 조건과 해석</w:t>
            </w:r>
          </w:p>
        </w:tc>
        <w:tc>
          <w:tcPr>
            <w:tcW w:type="dxa" w:w="121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출처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01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합계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부서·월별 매출액과 매입액의 전체 규모를 집계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매출과 매입을 나누고 금액 단위를 원으로 통일.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02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평균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거래 1건당 평균금액을 비교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초고액 거래의 영향을 받으므로 중앙값과 함께 제시.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03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중앙값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전형적인 거래금액을 파악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전체 합계나 산술평균과는 다른 특성을 설명.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04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표준편차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거래금액의 산포를 파악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큰 금액의 영향이 크므로 사분위 범위도 함께 검토.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05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사분위수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금액 분포의 아래쪽·중간·위쪽 구간을 파악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분위수의 특수한 경우로, 별도 명칭 항목으로 집계.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06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분위수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상위 90·95·99% 경계금액을 파악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계산 방식과 기준 확률을 명시.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07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히스토그램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소액·고액 거래의 분포 형태를 확인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원금액과 로그금액을 각각 살펴봄.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08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누적분포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특정 금액 이하 거래의 비중을 확인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집단별 경험적 누적분포로 비교 가능.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09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상자그림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부서별 중앙값·사분위 범위·극단값을 비교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바깥 점은 검토 후보이며 오류 판정이 아님.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층화 집계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매출·매입을 나눈 뒤 부서·월별 금액을 요약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서로 다른 거래 성격을 섞지 않도록 분석 단위 유지.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교차표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부서·결제수단·거래 구분의 조합별 건수를 파악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건수 교차표와 금액 집계표를 구분.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S07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파레토 분석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큰 거래 또는 특정 부서의 누적 금액 기여도를 파악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정렬 기준과 누적 비중의 분모를 명시.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로렌츠 곡선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소수 거래에 금액이 얼마나 집중되는지 시각화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매출·매입별 양수 금액으로 작성.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지니계수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거래금액의 집중도를 하나의 수치로 요약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거래 간 집중도이며 고객 집중도를 뜻하지 않음.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거래 건수와 평균금액 분해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월별 총액 변화가 건수와 거래당 금액 중 어디에서 왔는지 설명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총액=건수×평균금액. 교차항 배분 규칙을 명시.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원장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구성비 표준화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동일한 부서 비중을 적용해 월별 평균금액을 비교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기준 월 또는 공통 가중치를 미리 정함.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원장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구성 효과 분해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전체 평균 변화 중 부서 비중 변화의 기여를 분리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부서 내부 금액 변화와 구성 변화의 분해 규칙 명시.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원장</w:t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2 집단 간 금액 비교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0" w:type="dxa"/>
          <w:bottom w:w="60" w:type="dxa"/>
          <w:left w:w="95" w:type="dxa"/>
          <w:right w:w="95" w:type="dxa"/>
        </w:tblCellMar>
      </w:tblPr>
      <w:tblGrid>
        <w:gridCol w:w="709"/>
        <w:gridCol w:w="2523"/>
        <w:gridCol w:w="4535"/>
        <w:gridCol w:w="6038"/>
        <w:gridCol w:w="1219"/>
      </w:tblGrid>
      <w:tr>
        <w:trPr>
          <w:cantSplit/>
          <w:tblHeader/>
        </w:trPr>
        <w:tc>
          <w:tcPr>
            <w:tcW w:type="dxa" w:w="70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번호</w:t>
            </w:r>
          </w:p>
        </w:tc>
        <w:tc>
          <w:tcPr>
            <w:tcW w:type="dxa" w:w="2523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기법 또는 지표</w:t>
            </w:r>
          </w:p>
        </w:tc>
        <w:tc>
          <w:tcPr>
            <w:tcW w:type="dxa" w:w="4535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원장에서의 적용 목적</w:t>
            </w:r>
          </w:p>
        </w:tc>
        <w:tc>
          <w:tcPr>
            <w:tcW w:type="dxa" w:w="6038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적용 조건과 해석</w:t>
            </w:r>
          </w:p>
        </w:tc>
        <w:tc>
          <w:tcPr>
            <w:tcW w:type="dxa" w:w="121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출처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Welch t 검정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두 집단의 평균 거래금액 차이를 검정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등분산 가정은 완화되지만 독립성·극단값 영향은 점검.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Yuen 절사평균 검정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극단값 영향을 줄인 두 집단의 중심 차이를 검정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절사 비율을 미리 정하며 전체 산술평균과 구분.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Welch ANOVA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여러 부서 또는 결제수단의 평균 차이를 검정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검토. 집단별 분산·표본 수가 달라도 고려 가능.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S03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Games–Howell 사후비교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여러 집단 중 어느 쌍의 평균이 다른지 확인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다중비교를 반영하고 신뢰구간과 차이 크기를 제시.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S04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Mann–Whitney U 검정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두 집단의 금액 분포와 상대적인 크기를 비교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검토. 분포 모양이 다르면 단순 중앙값 차이로 해석하지 않음.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S05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Kruskal–Wallis 검정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여러 집단의 금액 순위 차이를 검정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검토. 모든 집단이 같은 중앙값이라는 해석에는 추가 조건 필요.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S06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Dunn 사후비교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순위 차이가 있는 집단 쌍을 확인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다중검정 보정과 동점값 처리를 함께 적용.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S06 S17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Levene 검정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부서별 거래금액 변동성이 같은지 검정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적용 가능. 선택한 중심값과 비정규 분포에 대한 민감성 확인.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S10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26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Brown–Forsythe 검정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중앙값을 기준으로 집단별 산포 차이를 검정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적용 가능. 중앙값 기반 Levene 변형이라는 관계를 함께 명시.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S10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27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두 표본 Kolmogorov–Smirnov 검정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두 월 또는 집단의 금액 분포 전체를 비교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100원 단위 동점값에 맞는 유의확률 계산 검토.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S09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28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Cramér–von Mises 검정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두 집단의 누적분포 차이를 종합적으로 비교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동점값·독립성·재표집 설계를 점검.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S09</w:t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3 범주형 변수의 관계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0" w:type="dxa"/>
          <w:bottom w:w="60" w:type="dxa"/>
          <w:left w:w="95" w:type="dxa"/>
          <w:right w:w="95" w:type="dxa"/>
        </w:tblCellMar>
      </w:tblPr>
      <w:tblGrid>
        <w:gridCol w:w="709"/>
        <w:gridCol w:w="2523"/>
        <w:gridCol w:w="4535"/>
        <w:gridCol w:w="6038"/>
        <w:gridCol w:w="1219"/>
      </w:tblGrid>
      <w:tr>
        <w:trPr>
          <w:cantSplit/>
          <w:tblHeader/>
        </w:trPr>
        <w:tc>
          <w:tcPr>
            <w:tcW w:type="dxa" w:w="70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번호</w:t>
            </w:r>
          </w:p>
        </w:tc>
        <w:tc>
          <w:tcPr>
            <w:tcW w:type="dxa" w:w="2523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기법 또는 지표</w:t>
            </w:r>
          </w:p>
        </w:tc>
        <w:tc>
          <w:tcPr>
            <w:tcW w:type="dxa" w:w="4535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원장에서의 적용 목적</w:t>
            </w:r>
          </w:p>
        </w:tc>
        <w:tc>
          <w:tcPr>
            <w:tcW w:type="dxa" w:w="6038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적용 조건과 해석</w:t>
            </w:r>
          </w:p>
        </w:tc>
        <w:tc>
          <w:tcPr>
            <w:tcW w:type="dxa" w:w="121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출처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29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카이제곱 독립성 검정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부서와 결제수단 또는 거래 구분의 연관성을 검정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금액 합계가 아닌 거래 건수와 기대빈도로 검정.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S07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30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Cramér’s V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범주형 변수 사이 연관성의 크기를 측정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유의확률과 별도로 관계 강도를 제시.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S08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31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표준화 잔차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교차표에서 예상보다 많거나 적은 조합을 확인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셀을 많이 비교하면 다중검정 문제 고려.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S07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32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Fisher 정확검정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거래가 드문 집단의 범주 관계를 검정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표 크기에 맞는 정확검정 또는 재표집 구현을 선택.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S09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33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Monte Carlo 검정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희소 교차표의 귀무분포를 모의추출로 근사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반복 수·난수 시드·Monte Carlo 오차를 관리.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S07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34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비율 차이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부서별 카드 비율 또는 고액 거래 비율 차이를 추정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기준 사건과 각 집단의 분모를 명시.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S09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35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비율 신뢰구간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카드 거래 비율 등 추정치의 불확실성을 제시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표본이 작거나 극단 비율이면 적절한 구간 방식 선택.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S09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36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오즈비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카드 사용 여부 등 이항 사건의 상대적 오즈를 비교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적용 가능. 오즈비를 확률비 또는 인과효과로 바꾸어 해석하지 않음.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37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층화 교차분석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부서 또는 월별로 나눠 범주 간 관계를 비교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집단별 관계와 전체 관계의 차이를 확인.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38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Cochran–Mantel–Haenszel 검정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부서 층을 고려해 카드 여부와 거래 구분의 관계를 검정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기본적으로 층별 2×2 표이며 공통 오즈비의 적절성 점검.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39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로그선형 모형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부서·결제수단·거래 구분의 다차원 건수를 설명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작은 셀과 복잡한 상호작용을 고려.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40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대응분석 CA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부서와 결제수단의 교차표를 낮은 차원에 요약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탐색용. 축 설명력과 희소 범주의 영향을 확인.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S16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41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다중대응분석 MCA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여러 범주형 변수의 결합 패턴을 시각화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탐색용. 범주 간 거리 표현을 인과관계로 해석하지 않음.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S16</w:t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4 금액과 거래 건수의 회귀모형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0" w:type="dxa"/>
          <w:bottom w:w="60" w:type="dxa"/>
          <w:left w:w="95" w:type="dxa"/>
          <w:right w:w="95" w:type="dxa"/>
        </w:tblCellMar>
      </w:tblPr>
      <w:tblGrid>
        <w:gridCol w:w="709"/>
        <w:gridCol w:w="2523"/>
        <w:gridCol w:w="4535"/>
        <w:gridCol w:w="6038"/>
        <w:gridCol w:w="1219"/>
      </w:tblGrid>
      <w:tr>
        <w:trPr>
          <w:cantSplit/>
          <w:tblHeader/>
        </w:trPr>
        <w:tc>
          <w:tcPr>
            <w:tcW w:type="dxa" w:w="70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번호</w:t>
            </w:r>
          </w:p>
        </w:tc>
        <w:tc>
          <w:tcPr>
            <w:tcW w:type="dxa" w:w="2523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기법 또는 지표</w:t>
            </w:r>
          </w:p>
        </w:tc>
        <w:tc>
          <w:tcPr>
            <w:tcW w:type="dxa" w:w="4535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원장에서의 적용 목적</w:t>
            </w:r>
          </w:p>
        </w:tc>
        <w:tc>
          <w:tcPr>
            <w:tcW w:type="dxa" w:w="6038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적용 조건과 해석</w:t>
            </w:r>
          </w:p>
        </w:tc>
        <w:tc>
          <w:tcPr>
            <w:tcW w:type="dxa" w:w="121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출처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42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다중선형회귀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부서·결제수단·월·요일을 함께 고려해 금액을 설명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이분산·시간 의존성·큰 잔차를 점검.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43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요인모형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범주형 요인의 금액 차이를 한 모형에서 비교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더미변수 회귀와 같은 틀에 속하는 명칭 항목.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44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상호작용 분석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결제수단별 금액 차이가 부서마다 달라지는지 확인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사전에 필요한 조합을 정하고 희소 집단을 확인.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45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로그금액 회귀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금액의 배수·비율 차이를 설명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검토. 원 단위 평균 예측으로 복원할 때 변환 편향 고려.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46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Gamma GLM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양수이며 오른쪽으로 치우친 금액의 조건부 평균을 추정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검토. 로그 연결함수와 분산 가정의 적합도를 확인.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47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분위수 회귀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중앙값과 상위 90% 금액에서 조건별 차이를 비교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 후보. 분위수 수준을 명시하고 불확실성을 함께 제시.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S13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48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Huber 강건회귀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초고액 거래에 덜 좌우되는 관계를 추정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보조 분석. 전체 평균을 설명하는 모형과 추정 대상이 다를 수 있음.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S14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49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이항 로지스틱 회귀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사전에 정한 고액 기준 초과 확률을 설명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금액으로 만든 정답에 금액 자체를 설명변수로 넣지 않음.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S15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50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다항 로지스틱 회귀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세 가지 결제수단의 선택·구성 확률을 설명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적용 가능. 범주 순서는 없으며 모형 가정을 점검.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S15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51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Poisson 회귀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일별 또는 부서별 일별 거래 건수를 설명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검토. 평균과 분산 구조 및 관측 기간 차이를 확인.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52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음이항 회귀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공변량 보정 후에도 과산포가 남는 거래 건수를 설명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검토. 단순 표본 분산만으로 모형을 확정하지 않음.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53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일반화가법모형 GAM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날짜에 따른 완만한 비선형 변화를 추정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92일 자료에 맞게 곡선 복잡도를 제한.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S18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54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혼합효과모형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날짜 또는 적절한 집단 구조의 차이를 함께 모형화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집단 수·상관 구조·고정효과와 임의효과 선택을 검토.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S19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55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베이지안 계층모형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거래 수가 적은 집단의 추정을 전체 정보로 보완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사전분포·부분 풀링·민감도·수렴을 확인.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S19</w:t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5 날짜와 시계열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0" w:type="dxa"/>
          <w:bottom w:w="60" w:type="dxa"/>
          <w:left w:w="95" w:type="dxa"/>
          <w:right w:w="95" w:type="dxa"/>
        </w:tblCellMar>
      </w:tblPr>
      <w:tblGrid>
        <w:gridCol w:w="709"/>
        <w:gridCol w:w="2523"/>
        <w:gridCol w:w="4535"/>
        <w:gridCol w:w="6038"/>
        <w:gridCol w:w="1219"/>
      </w:tblGrid>
      <w:tr>
        <w:trPr>
          <w:cantSplit/>
          <w:tblHeader/>
        </w:trPr>
        <w:tc>
          <w:tcPr>
            <w:tcW w:type="dxa" w:w="70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번호</w:t>
            </w:r>
          </w:p>
        </w:tc>
        <w:tc>
          <w:tcPr>
            <w:tcW w:type="dxa" w:w="2523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기법 또는 지표</w:t>
            </w:r>
          </w:p>
        </w:tc>
        <w:tc>
          <w:tcPr>
            <w:tcW w:type="dxa" w:w="4535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원장에서의 적용 목적</w:t>
            </w:r>
          </w:p>
        </w:tc>
        <w:tc>
          <w:tcPr>
            <w:tcW w:type="dxa" w:w="6038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적용 조건과 해석</w:t>
            </w:r>
          </w:p>
        </w:tc>
        <w:tc>
          <w:tcPr>
            <w:tcW w:type="dxa" w:w="121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출처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56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일별 추세 분석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매출액·매입액·건수의 시간별 변화를 확인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시간 관측치는 일별 92개라는 점을 유지.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S20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57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이동평균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단기 변동을 완화해 금액과 건수 흐름을 요약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창 길이를 명시하고 미래 예측에는 미래 관측을 쓰지 않음.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S20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58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이동중앙값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큰 거래의 영향이 작은 일별 중심 흐름을 확인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보조 분석. 총액 변화의 중요성을 가릴 수 있어 원자료도 병기.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S20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59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달력 효과 회귀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요일·월·월말에 따른 거래 차이를 설명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이들은 설명변수 차이이므로 하나의 회귀 항목으로 집계.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60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자기상관함수 ACF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이전 날짜와의 관련성 및 7일 반복을 확인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진단. 공통 추세·요일 효과와 잔차 의존성을 구분.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61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편자기상관함수 PACF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중간 시차를 고려한 특정 시차의 관련성을 확인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짧은 시계열에서 큰 시차를 과도하게 해석하지 않음.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S20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62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Ljung–Box 검정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여러 시차에서 잔차 자기상관이 남는지 검정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진단. 시차와 추정된 모형 차수를 고려.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S20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63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STL 분해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추세·주간 반복·불규칙 변동을 분리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7일 주기는 검토 가능하지만 연간 주기는 추정 불가.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64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변화점 탐지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거래 수준이나 분산이 달라지는 시점을 탐색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요일 효과·극단값·최소 구간 길이를 고려.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S23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65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분절회귀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특정 시점 전후의 수준 또는 기울기 차이를 추정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시점을 자료에서 고르면 선택 효과를 고려. 인과추론은 별도.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S23</w:t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5 날짜와 시계열 계속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0" w:type="dxa"/>
          <w:bottom w:w="60" w:type="dxa"/>
          <w:left w:w="95" w:type="dxa"/>
          <w:right w:w="95" w:type="dxa"/>
        </w:tblCellMar>
      </w:tblPr>
      <w:tblGrid>
        <w:gridCol w:w="709"/>
        <w:gridCol w:w="2523"/>
        <w:gridCol w:w="4535"/>
        <w:gridCol w:w="6038"/>
        <w:gridCol w:w="1219"/>
      </w:tblGrid>
      <w:tr>
        <w:trPr>
          <w:cantSplit/>
          <w:tblHeader/>
        </w:trPr>
        <w:tc>
          <w:tcPr>
            <w:tcW w:type="dxa" w:w="70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번호</w:t>
            </w:r>
          </w:p>
        </w:tc>
        <w:tc>
          <w:tcPr>
            <w:tcW w:type="dxa" w:w="2523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기법 또는 지표</w:t>
            </w:r>
          </w:p>
        </w:tc>
        <w:tc>
          <w:tcPr>
            <w:tcW w:type="dxa" w:w="4535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원장에서의 적용 목적</w:t>
            </w:r>
          </w:p>
        </w:tc>
        <w:tc>
          <w:tcPr>
            <w:tcW w:type="dxa" w:w="6038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적용 조건과 해석</w:t>
            </w:r>
          </w:p>
        </w:tc>
        <w:tc>
          <w:tcPr>
            <w:tcW w:type="dxa" w:w="121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출처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66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CUSUM 관리도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작지만 지속되는 평균 수준 변화를 감지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안정적 기준 구간 또는 보정된 잔차가 필요.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S24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67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EWMA 관리도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최근 정보에 가중치를 주어 지속적 변화를 감시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가중치·관리한계·잔차 의존성에 대한 기준 필요.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S24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68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계절 단순예측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전주 같은 요일을 이용해 단기 거래를 예측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기준모형. 복잡한 모형의 성능 비교 기준으로 사용.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69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ETS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오차·추세·계절 성분을 이용해 단기 예측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자료 길이에 맞는 단순 모형과 예측구간을 사용.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S20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70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ARIMA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차분과 자기회귀·이동평균 구조로 단기 예측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저차 모형부터 평가하고 잔차를 진단.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S20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71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SARIMA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주간 반복을 포함하는 계절 ARIMA로 단기 예측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7일 주기 후보를 검토하며 연간 계절 모형은 제외.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S20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72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Pearson 상관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일별 매출·매입 등 수치 변수의 선형 관계를 확인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탐색용. 추세·요일·극단값 영향과 집계 수준을 점검.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S09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73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Spearman 상관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일별 수치 변수의 순위상 단조 관계를 확인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탐색용. 비선형 단조 관계에 활용하며 인과관계를 뜻하지 않음.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S09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74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시차 상관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매입과 매출의 시간차 연관성을 탐색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공통 추세·주기를 제거하고 다중 시차 탐색을 통제.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S20</w:t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6 이상거래와 거래 유형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0" w:type="dxa"/>
          <w:bottom w:w="60" w:type="dxa"/>
          <w:left w:w="95" w:type="dxa"/>
          <w:right w:w="95" w:type="dxa"/>
        </w:tblCellMar>
      </w:tblPr>
      <w:tblGrid>
        <w:gridCol w:w="709"/>
        <w:gridCol w:w="2523"/>
        <w:gridCol w:w="4535"/>
        <w:gridCol w:w="6038"/>
        <w:gridCol w:w="1219"/>
      </w:tblGrid>
      <w:tr>
        <w:trPr>
          <w:cantSplit/>
          <w:tblHeader/>
        </w:trPr>
        <w:tc>
          <w:tcPr>
            <w:tcW w:type="dxa" w:w="70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번호</w:t>
            </w:r>
          </w:p>
        </w:tc>
        <w:tc>
          <w:tcPr>
            <w:tcW w:type="dxa" w:w="2523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기법 또는 지표</w:t>
            </w:r>
          </w:p>
        </w:tc>
        <w:tc>
          <w:tcPr>
            <w:tcW w:type="dxa" w:w="4535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원장에서의 적용 목적</w:t>
            </w:r>
          </w:p>
        </w:tc>
        <w:tc>
          <w:tcPr>
            <w:tcW w:type="dxa" w:w="6038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적용 조건과 해석</w:t>
            </w:r>
          </w:p>
        </w:tc>
        <w:tc>
          <w:tcPr>
            <w:tcW w:type="dxa" w:w="121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출처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75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IQR 기반 이상치 탐지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부서·거래 구분별 사분위 범위 밖 거래를 표시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전체 공통 기준보다 집단 특성을 고려.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76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MAD 기반 이상치 탐지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중앙값으로부터 이례적으로 먼 금액을 표시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적용. MAD가 0인 집단과 강한 왜도를 별도로 처리.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S14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77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회귀 잔차 기반 탐지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조건을 고려한 예상 금액과 실제 금액의 큰 차이를 탐색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후보. 조건별 분산을 고려해 잔차를 비교.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78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예측구간 기반 탐지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조건별 예상 거래 범위를 벗어난 관측을 표시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평균 신뢰구간 대신 개별 관측 예측구간 사용.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S20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79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Isolation Forest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여러 특성의 조합이 드문 거래를 탐색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인코딩·변환·탐지 비율과 후보의 해석 가능성을 점검.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S25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80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Local Outlier Factor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주변의 비슷한 거래에 비해 드문 관측을 탐색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거리 척도·스케일·이웃 수에 민감.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S25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81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Gower 거리 기반 군집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수치·범주가 섞인 거래의 유사성을 이용해 유형을 구성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탐색용. 거리 선택과 군집 알고리즘의 조합이며 독립 기법 계열은 아님.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S26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82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계층군집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거래 또는 집계된 날짜 프로필의 유사 관계를 단계적으로 묶음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탐색용. 거리·연결법·군집 수·안정성을 검토.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S27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83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의사결정나무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고액 거래나 금액을 설명하는 조건 분기를 파악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깊이를 제한하고 시간 분리 검증으로 과적합 확인.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S28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84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랜덤포레스트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여러 나무를 결합해 거래금액 또는 고액 여부를 예측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단순 모형 대비 성능 개선을 확인하고 변수 중요도를 신중히 해석.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S28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85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부스팅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여러 약한 예측모형을 순차 결합해 예측 성능을 개선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학습 복잡도·정보 유출·시간 순서 검증을 관리.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S28</w:t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7 검증과 보완 방법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0" w:type="dxa"/>
          <w:bottom w:w="60" w:type="dxa"/>
          <w:left w:w="95" w:type="dxa"/>
          <w:right w:w="95" w:type="dxa"/>
        </w:tblCellMar>
      </w:tblPr>
      <w:tblGrid>
        <w:gridCol w:w="709"/>
        <w:gridCol w:w="2523"/>
        <w:gridCol w:w="4535"/>
        <w:gridCol w:w="6038"/>
        <w:gridCol w:w="1219"/>
      </w:tblGrid>
      <w:tr>
        <w:trPr>
          <w:cantSplit/>
          <w:tblHeader/>
        </w:trPr>
        <w:tc>
          <w:tcPr>
            <w:tcW w:type="dxa" w:w="70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번호</w:t>
            </w:r>
          </w:p>
        </w:tc>
        <w:tc>
          <w:tcPr>
            <w:tcW w:type="dxa" w:w="2523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기법 또는 지표</w:t>
            </w:r>
          </w:p>
        </w:tc>
        <w:tc>
          <w:tcPr>
            <w:tcW w:type="dxa" w:w="4535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원장에서의 적용 목적</w:t>
            </w:r>
          </w:p>
        </w:tc>
        <w:tc>
          <w:tcPr>
            <w:tcW w:type="dxa" w:w="6038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적용 조건과 해석</w:t>
            </w:r>
          </w:p>
        </w:tc>
        <w:tc>
          <w:tcPr>
            <w:tcW w:type="dxa" w:w="1219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출처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86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부트스트랩 신뢰구간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평균·중앙값·비율·집단 차이의 불확실성을 추정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필수 검토. 의존성이 있으면 날짜 묶음 또는 시간 블록 재표집 설계.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S29 S30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87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순열검정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분포 가정을 줄여 집단 차이를 검정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조건부. 교환가능성이 필요하며 시간 구조를 무시한 임의 섞기는 피함.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S31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88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효과크기 보고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차이의 실질적 규모를 원·비율·연관성 지표로 제시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필수. 유의확률과 함께 해석. 개별 지표는 해당 항목에도 등장.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S08 S17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89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Holm 보정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다수 검정의 가족단위 오류율을 통제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필수 검토. 같은 질문에 속한 검정군을 사전에 정의.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S17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90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Benjamini–Hochberg 보정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다수 탐색 검정에서 거짓발견률을 통제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필수 검토. 검정 간 의존성 조건과 탐색 목적을 확인.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S17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91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Q–Q 도표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분포 또는 모형 잔차가 기준 분포와 어떻게 다른지 확인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우선 진단. 정규성 검정의 유의확률 하나로 모형을 결정하지 않음.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92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이분산 진단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설명 조건에 따라 잔차 분산이 달라지는지 확인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필수 검토. 강건 표준오차·분산 모형·변환 선택에 반영.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S32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93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자기상관 진단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거래일 사이의 의존성이 남는지 확인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필수 검토. ACF·Ljung–Box 등 앞선 항목을 활용하는 진단 범주.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S32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94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과산포 진단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건수 모형에서 조건부 분산이 가정보다 큰지 확인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필수 검토. 음이항 등 대안을 잔차와 적합도로 비교.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S12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95</w:t>
            </w:r>
          </w:p>
        </w:tc>
        <w:tc>
          <w:tcPr>
            <w:tcW w:type="dxa" w:w="252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시간 순서 교차검증</w:t>
            </w:r>
          </w:p>
        </w:tc>
        <w:tc>
          <w:tcPr>
            <w:tcW w:type="dxa" w:w="4535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과거로 학습하고 이후 날짜에서 예측 성능을 평가</w:t>
            </w:r>
          </w:p>
        </w:tc>
        <w:tc>
          <w:tcPr>
            <w:tcW w:type="dxa" w:w="6038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예측 시 필수. 무작위 행 분할보다 실제 사용 시점에 맞는 설계.</w:t>
            </w:r>
          </w:p>
        </w:tc>
        <w:tc>
          <w:tcPr>
            <w:tcW w:type="dxa" w:w="1219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S33</w:t>
            </w:r>
          </w:p>
        </w:tc>
      </w:tr>
      <w:tr>
        <w:trPr>
          <w:cantSplit/>
        </w:trPr>
        <w:tc>
          <w:tcPr>
            <w:tcW w:type="dxa" w:w="70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96</w:t>
            </w:r>
          </w:p>
        </w:tc>
        <w:tc>
          <w:tcPr>
            <w:tcW w:type="dxa" w:w="252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민감도 분석</w:t>
            </w:r>
          </w:p>
        </w:tc>
        <w:tc>
          <w:tcPr>
            <w:tcW w:type="dxa" w:w="4535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초고액 거래·변환·기준·모형 선택에 따른 결론 변화를 확인</w:t>
            </w:r>
          </w:p>
        </w:tc>
        <w:tc>
          <w:tcPr>
            <w:tcW w:type="dxa" w:w="6038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필수 검토. 원본 전체 결과를 유지하고 대안 결과와 비교.</w:t>
            </w:r>
          </w:p>
        </w:tc>
        <w:tc>
          <w:tcPr>
            <w:tcW w:type="dxa" w:w="1219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S29</w:t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실행 순서와 적용 제한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0" w:type="dxa"/>
          <w:bottom w:w="60" w:type="dxa"/>
          <w:left w:w="95" w:type="dxa"/>
          <w:right w:w="95" w:type="dxa"/>
        </w:tblCellMar>
      </w:tblPr>
      <w:tblGrid>
        <w:gridCol w:w="850"/>
        <w:gridCol w:w="5102"/>
        <w:gridCol w:w="9071"/>
      </w:tblGrid>
      <w:tr>
        <w:trPr>
          <w:cantSplit/>
          <w:tblHeader/>
        </w:trPr>
        <w:tc>
          <w:tcPr>
            <w:tcW w:type="dxa" w:w="850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순서</w:t>
            </w:r>
          </w:p>
        </w:tc>
        <w:tc>
          <w:tcPr>
            <w:tcW w:type="dxa" w:w="5102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분석 작업</w:t>
            </w:r>
          </w:p>
        </w:tc>
        <w:tc>
          <w:tcPr>
            <w:tcW w:type="dxa" w:w="9071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확인할 결과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5102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매출과 매입별 분포 및 집중도</w:t>
            </w:r>
          </w:p>
        </w:tc>
        <w:tc>
          <w:tcPr>
            <w:tcW w:type="dxa" w:w="9071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평균·중앙값 차이, 고액 거래의 기여, 부서별 분포 차이.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5102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월별 변화의 건수와 금액 및 구성 분해</w:t>
            </w:r>
          </w:p>
        </w:tc>
        <w:tc>
          <w:tcPr>
            <w:tcW w:type="dxa" w:w="9071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거래 건수 증가, 거래당 금액 증가, 부서 비중 변화의 기여.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5102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부서와 결제수단의 교차분석</w:t>
            </w:r>
          </w:p>
        </w:tc>
        <w:tc>
          <w:tcPr>
            <w:tcW w:type="dxa" w:w="9071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건수 교차표, Cramér’s V, 차이가 큰 조합과 필요한 보정.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5102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Gamma 또는 로그금액 회귀와 분위수 회귀</w:t>
            </w:r>
          </w:p>
        </w:tc>
        <w:tc>
          <w:tcPr>
            <w:tcW w:type="dxa" w:w="9071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조건을 함께 고려한 평균·중앙값·상위 금액의 차이.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5102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요일 패턴과 조건별 이상거래 탐지</w:t>
            </w:r>
          </w:p>
        </w:tc>
        <w:tc>
          <w:tcPr>
            <w:tcW w:type="dxa" w:w="9071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주간 반복, 잔차 의존성, 검토 후보의 원본 행과 선정 이유.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0" w:type="dxa"/>
          <w:bottom w:w="60" w:type="dxa"/>
          <w:left w:w="95" w:type="dxa"/>
          <w:right w:w="95" w:type="dxa"/>
        </w:tblCellMar>
      </w:tblPr>
      <w:tblGrid>
        <w:gridCol w:w="5102"/>
        <w:gridCol w:w="9921"/>
      </w:tblGrid>
      <w:tr>
        <w:trPr>
          <w:cantSplit/>
          <w:tblHeader/>
        </w:trPr>
        <w:tc>
          <w:tcPr>
            <w:tcW w:type="dxa" w:w="5102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현재 권장하기 어려운 분석</w:t>
            </w:r>
          </w:p>
        </w:tc>
        <w:tc>
          <w:tcPr>
            <w:tcW w:type="dxa" w:w="9921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부족한 정보 또는 이유</w:t>
            </w:r>
          </w:p>
        </w:tc>
      </w:tr>
      <w:tr>
        <w:trPr>
          <w:cantSplit/>
        </w:trPr>
        <w:tc>
          <w:tcPr>
            <w:tcW w:type="dxa" w:w="5102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고객 RFM 재구매 이탈 생애가치</w:t>
            </w:r>
          </w:p>
        </w:tc>
        <w:tc>
          <w:tcPr>
            <w:tcW w:type="dxa" w:w="9921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고객 ID와 고객별 거래 연결 정보가 없다.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장바구니 연관규칙</w:t>
            </w:r>
          </w:p>
        </w:tc>
        <w:tc>
          <w:tcPr>
            <w:tcW w:type="dxa" w:w="9921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주문 ID와 상품별 동시 구매 내역이 없다.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생존분석</w:t>
            </w:r>
          </w:p>
        </w:tc>
        <w:tc>
          <w:tcPr>
            <w:tcW w:type="dxa" w:w="9921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시작·종료 사건과 관측 종료 여부가 없다.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가격탄력성과 수요함수</w:t>
            </w:r>
          </w:p>
        </w:tc>
        <w:tc>
          <w:tcPr>
            <w:tcW w:type="dxa" w:w="9921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상품·수량·단가 정보가 없다.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PCA 요인분석 MANOVA의 원자료 직접 적용</w:t>
            </w:r>
          </w:p>
        </w:tc>
        <w:tc>
          <w:tcPr>
            <w:tcW w:type="dxa" w:w="9921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실질적인 수치 측정변수는 금액 하나다. 별도 집계변수 설계 시 재검토할 수 있다.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정책 광고 등 인과효과</w:t>
            </w:r>
          </w:p>
        </w:tc>
        <w:tc>
          <w:tcPr>
            <w:tcW w:type="dxa" w:w="9921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처치·통제집단·개입 시점과 교란변수 정보가 없다.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연간 계절성과 안정적인 장기예측</w:t>
            </w:r>
          </w:p>
        </w:tc>
        <w:tc>
          <w:tcPr>
            <w:tcW w:type="dxa" w:w="9921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관측기간은 3개월이며 일별 관측은 92개뿐이다.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Benford 법칙을 통한 부정거래 판정</w:t>
            </w:r>
          </w:p>
        </w:tc>
        <w:tc>
          <w:tcPr>
            <w:tcW w:type="dxa" w:w="9921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가상 데이터의 생성 규칙을 모르며 금액은 모두 100원 단위다. 이상 신호는 부정 판정이 아니다.</w:t>
            </w:r>
          </w:p>
        </w:tc>
      </w:tr>
      <w:tr>
        <w:trPr>
          <w:cantSplit/>
        </w:trPr>
        <w:tc>
          <w:tcPr>
            <w:tcW w:type="dxa" w:w="5102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이익률과 현금흐름</w:t>
            </w:r>
          </w:p>
        </w:tc>
        <w:tc>
          <w:tcPr>
            <w:tcW w:type="dxa" w:w="9921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매출과 원가의 대응·재고·비용·실제 수금 및 지급 정보가 없다.</w:t>
            </w:r>
          </w:p>
        </w:tc>
      </w:tr>
    </w:tbl>
    <w:p>
      <w:pPr>
        <w:spacing w:after="0"/>
      </w:pPr>
    </w:p>
    <w:p>
      <w:r>
        <w:t>공통 주의사항: 거래가 없는 날짜·부서 조합을 0으로 채우기 전 원장의 완전성을 확인한다. 거래 간 또는 날짜 간 의존성을 고려한다. 여러 검정을 무작정 수행해 유의한 결과만 고르지 않는다. 매출액에서 매입액을 뺀 값을 이익이나 현금흐름으로 부르지 않는다.</w:t>
      </w:r>
    </w:p>
    <w:p>
      <w:pPr>
        <w:pStyle w:val="Heading1"/>
        <w:pageBreakBefore/>
      </w:pPr>
      <w:r>
        <w:t>참고 자료</w:t>
      </w:r>
    </w:p>
    <w:p>
      <w:r>
        <w:t>인터넷 조사 기준일은 2026년 10월 1일이다. 출처는 기법 정의·가정·구현에 대한 참고 문서이며, 각 기법의 원장 적용 판단은 데이터 구조를 검토한 분석 설계다. 원장 표기는 제공된 엑셀 데이터에 직접 적용한 집계·분해 설계를 뜻한다.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0" w:type="dxa"/>
          <w:bottom w:w="60" w:type="dxa"/>
          <w:left w:w="95" w:type="dxa"/>
          <w:right w:w="95" w:type="dxa"/>
        </w:tblCellMar>
      </w:tblPr>
      <w:tblGrid>
        <w:gridCol w:w="1361"/>
        <w:gridCol w:w="13663"/>
      </w:tblGrid>
      <w:tr>
        <w:trPr>
          <w:cantSplit/>
          <w:tblHeader/>
        </w:trPr>
        <w:tc>
          <w:tcPr>
            <w:tcW w:type="dxa" w:w="1361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출처 코드</w:t>
            </w:r>
          </w:p>
        </w:tc>
        <w:tc>
          <w:tcPr>
            <w:tcW w:type="dxa" w:w="13663"/>
            <w:vAlign w:val="center"/>
            <w:shd w:fill="213B53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8"/>
              </w:rPr>
              <w:t>자료명과 원문 링크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S01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9">
              <w:r>
                <w:rPr>
                  <w:rFonts w:ascii="맑은 고딕" w:hAnsi="맑은 고딕" w:eastAsia="맑은 고딕"/>
                  <w:color w:val="175B88"/>
                  <w:sz w:val="19"/>
                </w:rPr>
                <w:t>NIST 통계 핸드북 탐색적 데이터 분석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S02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10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SciPy 독립표본 t 검정과 절사평균 검정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S03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11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SciPy 일원분산분석과 Welch ANOVA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S04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12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SciPy 다중 평균 비교와 Games–Howell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S05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13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SciPy Mann–Whitney U 검정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S06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14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SciPy Kruskal–Wallis 검정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S07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15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SciPy 교차표 독립성 검정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S08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16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SciPy 명목변수 연관성 측정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S09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17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SciPy 통계함수 목록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S10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18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SciPy Levene 검정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S11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19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statsmodels 층화 교차표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S12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20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statsmodels 일반화선형모형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S13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21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statsmodels 분위수 회귀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S14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22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statsmodels 강건 선형모형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S15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23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statsmodels 이산 종속변수 회귀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S16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24">
              <w:r>
                <w:rPr>
                  <w:rFonts w:ascii="맑은 고딕" w:hAnsi="맑은 고딕" w:eastAsia="맑은 고딕"/>
                  <w:color w:val="175B88"/>
                  <w:sz w:val="19"/>
                </w:rPr>
                <w:t>FactoMineR 다변량 탐색 분석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S17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25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statsmodels 다중검정 보정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S18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26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statsmodels 일반화가법모형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S19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27">
              <w:r>
                <w:rPr>
                  <w:rFonts w:ascii="맑은 고딕" w:hAnsi="맑은 고딕" w:eastAsia="맑은 고딕"/>
                  <w:color w:val="175B88"/>
                  <w:sz w:val="19"/>
                </w:rPr>
                <w:t>PyMC 다층모형과 부분 풀링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S20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28">
              <w:r>
                <w:rPr>
                  <w:rFonts w:ascii="맑은 고딕" w:hAnsi="맑은 고딕" w:eastAsia="맑은 고딕"/>
                  <w:color w:val="175B88"/>
                  <w:sz w:val="19"/>
                </w:rPr>
                <w:t>Forecasting Principles and Practice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S21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29">
              <w:r>
                <w:rPr>
                  <w:rFonts w:ascii="맑은 고딕" w:hAnsi="맑은 고딕" w:eastAsia="맑은 고딕"/>
                  <w:color w:val="175B88"/>
                  <w:sz w:val="19"/>
                </w:rPr>
                <w:t>Forecasting Principles and Practice STL 분해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S22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30">
              <w:r>
                <w:rPr>
                  <w:rFonts w:ascii="맑은 고딕" w:hAnsi="맑은 고딕" w:eastAsia="맑은 고딕"/>
                  <w:color w:val="175B88"/>
                  <w:sz w:val="19"/>
                </w:rPr>
                <w:t>Forecasting Principles and Practice 기본 예측법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S23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31">
              <w:r>
                <w:rPr>
                  <w:rFonts w:ascii="맑은 고딕" w:hAnsi="맑은 고딕" w:eastAsia="맑은 고딕"/>
                  <w:color w:val="175B88"/>
                  <w:sz w:val="19"/>
                </w:rPr>
                <w:t>Truong 등 변화점 탐지 방법 검토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S24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32">
              <w:r>
                <w:rPr>
                  <w:rFonts w:ascii="맑은 고딕" w:hAnsi="맑은 고딕" w:eastAsia="맑은 고딕"/>
                  <w:color w:val="175B88"/>
                  <w:sz w:val="19"/>
                </w:rPr>
                <w:t>NIST 단변량 및 다변량 관리도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S25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33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scikit-learn 이상치 탐지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S26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34">
              <w:r>
                <w:rPr>
                  <w:rFonts w:ascii="맑은 고딕" w:hAnsi="맑은 고딕" w:eastAsia="맑은 고딕"/>
                  <w:color w:val="175B88"/>
                  <w:sz w:val="19"/>
                </w:rPr>
                <w:t>R cluster Gower 거리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S27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35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scikit-learn 군집분석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S28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36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scikit-learn 앙상블 학습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S29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37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SciPy 부트스트랩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S30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38">
              <w:r>
                <w:rPr>
                  <w:rFonts w:ascii="맑은 고딕" w:hAnsi="맑은 고딕" w:eastAsia="맑은 고딕"/>
                  <w:color w:val="175B88"/>
                  <w:sz w:val="19"/>
                </w:rPr>
                <w:t>arch 이동 블록 부트스트랩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S31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39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SciPy 순열검정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2F5F8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S32</w:t>
            </w:r>
          </w:p>
        </w:tc>
        <w:tc>
          <w:tcPr>
            <w:tcW w:type="dxa" w:w="13663"/>
            <w:vAlign w:val="center"/>
            <w:shd w:fill="F2F5F8"/>
          </w:tcPr>
          <w:p>
            <w:pPr>
              <w:spacing w:after="0" w:before="0" w:line="254" w:lineRule="auto"/>
              <w:jc w:val="left"/>
            </w:pPr>
            <w:hyperlink r:id="rId40">
              <w:r>
                <w:rPr>
                  <w:rFonts w:ascii="맑은 고딕" w:hAnsi="맑은 고딕" w:eastAsia="맑은 고딕"/>
                  <w:color w:val="175B88"/>
                  <w:sz w:val="19"/>
                </w:rPr>
                <w:t>statsmodels 통계 진단과 검정</w:t>
              </w:r>
            </w:hyperlink>
          </w:p>
        </w:tc>
      </w:tr>
      <w:tr>
        <w:trPr>
          <w:cantSplit/>
        </w:trPr>
        <w:tc>
          <w:tcPr>
            <w:tcW w:type="dxa" w:w="1361"/>
            <w:vAlign w:val="center"/>
            <w:shd w:fill="FFFFFF"/>
          </w:tcPr>
          <w:p>
            <w:pPr>
              <w:spacing w:after="0" w:before="0" w:line="254" w:lineRule="auto"/>
              <w:jc w:val="center"/>
            </w:pPr>
            <w:r>
              <w:rPr>
                <w:rFonts w:ascii="맑은 고딕" w:hAnsi="맑은 고딕" w:eastAsia="맑은 고딕"/>
                <w:b w:val="0"/>
                <w:color w:val="000000"/>
                <w:sz w:val="18"/>
              </w:rPr>
              <w:t>S33</w:t>
            </w:r>
          </w:p>
        </w:tc>
        <w:tc>
          <w:tcPr>
            <w:tcW w:type="dxa" w:w="13663"/>
            <w:vAlign w:val="center"/>
            <w:shd w:fill="FFFFFF"/>
          </w:tcPr>
          <w:p>
            <w:pPr>
              <w:spacing w:after="0" w:before="0" w:line="254" w:lineRule="auto"/>
              <w:jc w:val="left"/>
            </w:pPr>
            <w:hyperlink r:id="rId41">
              <w:r>
                <w:rPr>
                  <w:rFonts w:ascii="맑은 고딕" w:hAnsi="맑은 고딕" w:eastAsia="맑은 고딕"/>
                  <w:color w:val="175B88"/>
                  <w:sz w:val="19"/>
                </w:rPr>
                <w:t>Forecasting Principles and Practice 시계열 교차검증</w:t>
              </w:r>
            </w:hyperlink>
          </w:p>
        </w:tc>
      </w:tr>
    </w:tbl>
    <w:p>
      <w:pPr>
        <w:spacing w:after="0"/>
      </w:pPr>
    </w:p>
    <w:p>
      <w:r>
        <w:t>자료명을 클릭하면 원문을 열 수 있다. 개별 기법의 세부 조건은 연결된 공식 문서 및 그 하위 문서를 함께 확인한다.</w:t>
      </w:r>
    </w:p>
    <w:sectPr w:rsidR="00FC693F" w:rsidRPr="0006063C" w:rsidSect="00034616">
      <w:footerReference w:type="default" r:id="rId42"/>
      <w:pgSz w:w="16838" w:h="11906" w:orient="landscape"/>
      <w:pgMar w:top="822" w:right="907" w:bottom="765" w:left="907" w:header="72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맑은 고딕" w:hAnsi="맑은 고딕" w:eastAsia="맑은 고딕"/>
        <w:b w:val="0"/>
        <w:color w:val="000000"/>
        <w:sz w:val="16"/>
      </w:rPr>
      <w:t xml:space="preserve">거래원장 통계분석기법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259" w:lineRule="auto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9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itl.nist.gov/div898/handbook/eda/eda.htm" TargetMode="External"/><Relationship Id="rId10" Type="http://schemas.openxmlformats.org/officeDocument/2006/relationships/hyperlink" Target="https://docs.scipy.org/doc/scipy/reference/generated/scipy.stats.ttest_ind.html" TargetMode="External"/><Relationship Id="rId11" Type="http://schemas.openxmlformats.org/officeDocument/2006/relationships/hyperlink" Target="https://docs.scipy.org/doc/scipy/reference/generated/scipy.stats.f_oneway.html" TargetMode="External"/><Relationship Id="rId12" Type="http://schemas.openxmlformats.org/officeDocument/2006/relationships/hyperlink" Target="https://docs.scipy.org/doc/scipy/reference/generated/scipy.stats.tukey_hsd.html" TargetMode="External"/><Relationship Id="rId13" Type="http://schemas.openxmlformats.org/officeDocument/2006/relationships/hyperlink" Target="https://docs.scipy.org/doc/scipy/reference/generated/scipy.stats.mannwhitneyu.html" TargetMode="External"/><Relationship Id="rId14" Type="http://schemas.openxmlformats.org/officeDocument/2006/relationships/hyperlink" Target="https://docs.scipy.org/doc/scipy/reference/generated/scipy.stats.kruskal.html" TargetMode="External"/><Relationship Id="rId15" Type="http://schemas.openxmlformats.org/officeDocument/2006/relationships/hyperlink" Target="https://docs.scipy.org/doc/scipy/reference/generated/scipy.stats.contingency.chi2_contingency.html" TargetMode="External"/><Relationship Id="rId16" Type="http://schemas.openxmlformats.org/officeDocument/2006/relationships/hyperlink" Target="https://docs.scipy.org/doc/scipy/reference/generated/scipy.stats.contingency.association.html" TargetMode="External"/><Relationship Id="rId17" Type="http://schemas.openxmlformats.org/officeDocument/2006/relationships/hyperlink" Target="https://docs.scipy.org/doc/scipy/reference/stats.html" TargetMode="External"/><Relationship Id="rId18" Type="http://schemas.openxmlformats.org/officeDocument/2006/relationships/hyperlink" Target="https://docs.scipy.org/doc/scipy/reference/generated/scipy.stats.levene.html" TargetMode="External"/><Relationship Id="rId19" Type="http://schemas.openxmlformats.org/officeDocument/2006/relationships/hyperlink" Target="https://www.statsmodels.org/stable/generated/statsmodels.stats.contingency_tables.StratifiedTable.html" TargetMode="External"/><Relationship Id="rId20" Type="http://schemas.openxmlformats.org/officeDocument/2006/relationships/hyperlink" Target="https://www.statsmodels.org/stable/glm.html" TargetMode="External"/><Relationship Id="rId21" Type="http://schemas.openxmlformats.org/officeDocument/2006/relationships/hyperlink" Target="https://www.statsmodels.org/stable/examples/notebooks/generated/quantile_regression.html" TargetMode="External"/><Relationship Id="rId22" Type="http://schemas.openxmlformats.org/officeDocument/2006/relationships/hyperlink" Target="https://www.statsmodels.org/stable/rlm.html" TargetMode="External"/><Relationship Id="rId23" Type="http://schemas.openxmlformats.org/officeDocument/2006/relationships/hyperlink" Target="https://www.statsmodels.org/stable/discretemod.html" TargetMode="External"/><Relationship Id="rId24" Type="http://schemas.openxmlformats.org/officeDocument/2006/relationships/hyperlink" Target="https://factominer.free.fr/" TargetMode="External"/><Relationship Id="rId25" Type="http://schemas.openxmlformats.org/officeDocument/2006/relationships/hyperlink" Target="https://www.statsmodels.org/stable/generated/statsmodels.stats.multitest.multipletests.html" TargetMode="External"/><Relationship Id="rId26" Type="http://schemas.openxmlformats.org/officeDocument/2006/relationships/hyperlink" Target="https://www.statsmodels.org/stable/gam.html" TargetMode="External"/><Relationship Id="rId27" Type="http://schemas.openxmlformats.org/officeDocument/2006/relationships/hyperlink" Target="https://www.pymc.io/projects/examples/en/latest/generalized_linear_models/multilevel_modeling.html" TargetMode="External"/><Relationship Id="rId28" Type="http://schemas.openxmlformats.org/officeDocument/2006/relationships/hyperlink" Target="https://otexts.com/fpp3/" TargetMode="External"/><Relationship Id="rId29" Type="http://schemas.openxmlformats.org/officeDocument/2006/relationships/hyperlink" Target="https://otexts.com/fpp3/stl.html" TargetMode="External"/><Relationship Id="rId30" Type="http://schemas.openxmlformats.org/officeDocument/2006/relationships/hyperlink" Target="https://otexts.com/fpp3/simple-methods.html" TargetMode="External"/><Relationship Id="rId31" Type="http://schemas.openxmlformats.org/officeDocument/2006/relationships/hyperlink" Target="https://arxiv.org/abs/1801.00718" TargetMode="External"/><Relationship Id="rId32" Type="http://schemas.openxmlformats.org/officeDocument/2006/relationships/hyperlink" Target="https://www.itl.nist.gov/div898/handbook/pmc/section3/pmc3.htm" TargetMode="External"/><Relationship Id="rId33" Type="http://schemas.openxmlformats.org/officeDocument/2006/relationships/hyperlink" Target="https://scikit-learn.org/stable/modules/outlier_detection.html" TargetMode="External"/><Relationship Id="rId34" Type="http://schemas.openxmlformats.org/officeDocument/2006/relationships/hyperlink" Target="https://search.r-project.org/CRAN/refmans/cluster/html/daisy.html" TargetMode="External"/><Relationship Id="rId35" Type="http://schemas.openxmlformats.org/officeDocument/2006/relationships/hyperlink" Target="https://scikit-learn.org/stable/modules/clustering.html" TargetMode="External"/><Relationship Id="rId36" Type="http://schemas.openxmlformats.org/officeDocument/2006/relationships/hyperlink" Target="https://scikit-learn.org/1.6/modules/ensemble.html" TargetMode="External"/><Relationship Id="rId37" Type="http://schemas.openxmlformats.org/officeDocument/2006/relationships/hyperlink" Target="https://docs.scipy.org/doc/scipy/reference/generated/scipy.stats.bootstrap.html" TargetMode="External"/><Relationship Id="rId38" Type="http://schemas.openxmlformats.org/officeDocument/2006/relationships/hyperlink" Target="https://arch.readthedocs.io/en/latest/bootstrap/generated/arch.bootstrap.MovingBlockBootstrap.html" TargetMode="External"/><Relationship Id="rId39" Type="http://schemas.openxmlformats.org/officeDocument/2006/relationships/hyperlink" Target="https://docs.scipy.org/doc/scipy/reference/generated/scipy.stats.permutation_test.html" TargetMode="External"/><Relationship Id="rId40" Type="http://schemas.openxmlformats.org/officeDocument/2006/relationships/hyperlink" Target="https://www.statsmodels.org/stable/stats.html" TargetMode="External"/><Relationship Id="rId41" Type="http://schemas.openxmlformats.org/officeDocument/2006/relationships/hyperlink" Target="https://otexts.com/fpp3/tscv.html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거래원장 통계분석기법 정리</dc:title>
  <dc:subject>거래원장 8000건에 적용할 분석기법과 조건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